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964C" w14:textId="77777777" w:rsidR="00683EAF" w:rsidRDefault="00683EAF" w:rsidP="002C5BE3">
      <w:pPr>
        <w:jc w:val="center"/>
        <w:rPr>
          <w:rFonts w:cs="Times New Roman"/>
          <w:szCs w:val="24"/>
        </w:rPr>
      </w:pPr>
      <w:r w:rsidRPr="00683EAF">
        <w:rPr>
          <w:rFonts w:cs="Times New Roman"/>
          <w:szCs w:val="24"/>
        </w:rPr>
        <w:t>Determining program impact through research and self-study with teacher candidates</w:t>
      </w:r>
    </w:p>
    <w:p w14:paraId="45B67052" w14:textId="02FFDDAC" w:rsidR="009308A0" w:rsidRDefault="009308A0" w:rsidP="007D4109">
      <w:pPr>
        <w:jc w:val="center"/>
        <w:rPr>
          <w:rFonts w:cs="Times New Roman"/>
          <w:szCs w:val="24"/>
        </w:rPr>
      </w:pPr>
      <w:r>
        <w:rPr>
          <w:rFonts w:cs="Times New Roman"/>
          <w:szCs w:val="24"/>
        </w:rPr>
        <w:t>Abstract</w:t>
      </w:r>
    </w:p>
    <w:p w14:paraId="2CE7C7D5" w14:textId="4AA1E93D" w:rsidR="009308A0" w:rsidRDefault="00683EAF" w:rsidP="009308A0">
      <w:pPr>
        <w:rPr>
          <w:rFonts w:cs="Times New Roman"/>
          <w:szCs w:val="24"/>
        </w:rPr>
      </w:pPr>
      <w:r>
        <w:rPr>
          <w:rFonts w:cs="Times New Roman"/>
          <w:szCs w:val="24"/>
        </w:rPr>
        <w:t>Teacher</w:t>
      </w:r>
      <w:r w:rsidR="009308A0">
        <w:rPr>
          <w:rFonts w:cs="Times New Roman"/>
          <w:szCs w:val="24"/>
        </w:rPr>
        <w:t xml:space="preserve"> </w:t>
      </w:r>
      <w:r>
        <w:rPr>
          <w:rFonts w:cs="Times New Roman"/>
          <w:szCs w:val="24"/>
        </w:rPr>
        <w:t>education</w:t>
      </w:r>
      <w:r w:rsidR="009308A0">
        <w:rPr>
          <w:rFonts w:cs="Times New Roman"/>
          <w:szCs w:val="24"/>
        </w:rPr>
        <w:t xml:space="preserve"> programs are required by accreditation agencies to measure our effectiveness by evaluating the professional knowledge, skills and disposition of our program completers and </w:t>
      </w:r>
      <w:r>
        <w:rPr>
          <w:rFonts w:cs="Times New Roman"/>
          <w:szCs w:val="24"/>
        </w:rPr>
        <w:t>to</w:t>
      </w:r>
      <w:r w:rsidR="009308A0">
        <w:rPr>
          <w:rFonts w:cs="Times New Roman"/>
          <w:szCs w:val="24"/>
        </w:rPr>
        <w:t xml:space="preserve"> </w:t>
      </w:r>
      <w:r>
        <w:rPr>
          <w:rFonts w:cs="Times New Roman"/>
          <w:szCs w:val="24"/>
        </w:rPr>
        <w:t>measure</w:t>
      </w:r>
      <w:r w:rsidR="009308A0">
        <w:rPr>
          <w:rFonts w:cs="Times New Roman"/>
          <w:szCs w:val="24"/>
        </w:rPr>
        <w:t xml:space="preserve"> </w:t>
      </w:r>
      <w:r>
        <w:rPr>
          <w:rFonts w:cs="Times New Roman"/>
          <w:szCs w:val="24"/>
        </w:rPr>
        <w:t>the completers’</w:t>
      </w:r>
      <w:r w:rsidR="009308A0">
        <w:rPr>
          <w:rFonts w:cs="Times New Roman"/>
          <w:szCs w:val="24"/>
        </w:rPr>
        <w:t xml:space="preserve"> impact on P-12 students’ learning and development. </w:t>
      </w:r>
      <w:r w:rsidR="009308A0" w:rsidRPr="00F17181">
        <w:rPr>
          <w:rFonts w:cs="Times New Roman"/>
          <w:szCs w:val="24"/>
        </w:rPr>
        <w:t>In an innovative twist</w:t>
      </w:r>
      <w:r w:rsidR="009308A0">
        <w:rPr>
          <w:rFonts w:cs="Times New Roman"/>
          <w:szCs w:val="24"/>
        </w:rPr>
        <w:t xml:space="preserve"> and taking a more </w:t>
      </w:r>
      <w:r w:rsidR="009D08C4">
        <w:rPr>
          <w:rFonts w:cs="Times New Roman"/>
          <w:szCs w:val="24"/>
        </w:rPr>
        <w:t>democratic</w:t>
      </w:r>
      <w:r w:rsidR="009308A0">
        <w:rPr>
          <w:rFonts w:cs="Times New Roman"/>
          <w:szCs w:val="24"/>
        </w:rPr>
        <w:t xml:space="preserve"> and scholarly approach</w:t>
      </w:r>
      <w:r w:rsidR="009308A0" w:rsidRPr="00F17181">
        <w:rPr>
          <w:rFonts w:cs="Times New Roman"/>
          <w:szCs w:val="24"/>
        </w:rPr>
        <w:t xml:space="preserve">, we </w:t>
      </w:r>
      <w:r w:rsidR="009308A0">
        <w:rPr>
          <w:rFonts w:cs="Times New Roman"/>
          <w:szCs w:val="24"/>
        </w:rPr>
        <w:t xml:space="preserve">conducted our self-study by engaging </w:t>
      </w:r>
      <w:r w:rsidR="009308A0" w:rsidRPr="00F17181">
        <w:rPr>
          <w:rFonts w:cs="Times New Roman"/>
          <w:szCs w:val="24"/>
        </w:rPr>
        <w:t>two of our current graduate teacher candidates in a qualitative research study on program impact.</w:t>
      </w:r>
      <w:r w:rsidR="009308A0">
        <w:rPr>
          <w:rFonts w:cs="Times New Roman"/>
          <w:szCs w:val="24"/>
        </w:rPr>
        <w:t xml:space="preserve"> </w:t>
      </w:r>
      <w:r>
        <w:rPr>
          <w:rFonts w:cs="Times New Roman"/>
          <w:szCs w:val="24"/>
        </w:rPr>
        <w:t>They</w:t>
      </w:r>
      <w:r w:rsidR="009308A0">
        <w:rPr>
          <w:rFonts w:cs="Times New Roman"/>
          <w:szCs w:val="24"/>
        </w:rPr>
        <w:t xml:space="preserve"> collected data from </w:t>
      </w:r>
      <w:r>
        <w:rPr>
          <w:rFonts w:cs="Times New Roman"/>
          <w:szCs w:val="24"/>
        </w:rPr>
        <w:t>program completers</w:t>
      </w:r>
      <w:r w:rsidR="009308A0">
        <w:rPr>
          <w:rFonts w:cs="Times New Roman"/>
          <w:szCs w:val="24"/>
        </w:rPr>
        <w:t xml:space="preserve"> through focused interviews, classroom observations and employer surveys. </w:t>
      </w:r>
      <w:r w:rsidRPr="00F17181">
        <w:rPr>
          <w:rFonts w:cs="Times New Roman"/>
          <w:szCs w:val="24"/>
        </w:rPr>
        <w:t xml:space="preserve">Results highlighted the key strengths of our program and underscored areas for improvement. Conducting </w:t>
      </w:r>
      <w:r>
        <w:rPr>
          <w:rFonts w:cs="Times New Roman"/>
          <w:szCs w:val="24"/>
        </w:rPr>
        <w:t xml:space="preserve">this self-study as a </w:t>
      </w:r>
      <w:r w:rsidRPr="00F17181">
        <w:rPr>
          <w:rFonts w:cs="Times New Roman"/>
          <w:szCs w:val="24"/>
        </w:rPr>
        <w:t xml:space="preserve">research </w:t>
      </w:r>
      <w:r>
        <w:rPr>
          <w:rFonts w:cs="Times New Roman"/>
          <w:szCs w:val="24"/>
        </w:rPr>
        <w:t xml:space="preserve">project </w:t>
      </w:r>
      <w:r w:rsidRPr="00F17181">
        <w:rPr>
          <w:rFonts w:cs="Times New Roman"/>
          <w:szCs w:val="24"/>
        </w:rPr>
        <w:t xml:space="preserve">with </w:t>
      </w:r>
      <w:r>
        <w:rPr>
          <w:rFonts w:cs="Times New Roman"/>
          <w:szCs w:val="24"/>
        </w:rPr>
        <w:t xml:space="preserve">teacher </w:t>
      </w:r>
      <w:r w:rsidRPr="00F17181">
        <w:rPr>
          <w:rFonts w:cs="Times New Roman"/>
          <w:szCs w:val="24"/>
        </w:rPr>
        <w:t>candidates</w:t>
      </w:r>
      <w:r>
        <w:rPr>
          <w:rFonts w:cs="Times New Roman"/>
          <w:szCs w:val="24"/>
        </w:rPr>
        <w:t xml:space="preserve"> brought in hitherto overlooked perspectives in our discovery of our worth. </w:t>
      </w:r>
      <w:r w:rsidRPr="00F17181">
        <w:rPr>
          <w:rFonts w:cs="Times New Roman"/>
          <w:szCs w:val="24"/>
        </w:rPr>
        <w:t xml:space="preserve">  </w:t>
      </w:r>
    </w:p>
    <w:p w14:paraId="59588E53" w14:textId="77777777" w:rsidR="00ED75CA" w:rsidRPr="00ED75CA" w:rsidRDefault="00ED75CA" w:rsidP="00ED75CA">
      <w:pPr>
        <w:jc w:val="center"/>
        <w:rPr>
          <w:rFonts w:cs="Times New Roman"/>
          <w:szCs w:val="24"/>
        </w:rPr>
      </w:pPr>
      <w:r w:rsidRPr="00ED75CA">
        <w:rPr>
          <w:rFonts w:cs="Times New Roman"/>
          <w:szCs w:val="24"/>
        </w:rPr>
        <w:t>Objectives</w:t>
      </w:r>
    </w:p>
    <w:p w14:paraId="4FBE4CA4" w14:textId="554402BF" w:rsidR="00AA7755" w:rsidRDefault="00BA2D42" w:rsidP="002C5BE3">
      <w:pPr>
        <w:rPr>
          <w:rFonts w:cs="Times New Roman"/>
          <w:szCs w:val="24"/>
        </w:rPr>
      </w:pPr>
      <w:r>
        <w:rPr>
          <w:rFonts w:cs="Times New Roman"/>
          <w:szCs w:val="24"/>
        </w:rPr>
        <w:t xml:space="preserve">CAEP </w:t>
      </w:r>
      <w:r w:rsidR="00ED75CA">
        <w:rPr>
          <w:rFonts w:cs="Times New Roman"/>
          <w:szCs w:val="24"/>
        </w:rPr>
        <w:t xml:space="preserve">(Council for the Accreditation of Educator Preparation) </w:t>
      </w:r>
      <w:r>
        <w:rPr>
          <w:rFonts w:cs="Times New Roman"/>
          <w:szCs w:val="24"/>
        </w:rPr>
        <w:t>Standards require educator preparation programs (EPP) to measure the impact of their programs by evaluating the effectiveness of the</w:t>
      </w:r>
      <w:r w:rsidR="00ED75CA">
        <w:rPr>
          <w:rFonts w:cs="Times New Roman"/>
          <w:szCs w:val="24"/>
        </w:rPr>
        <w:t>ir program</w:t>
      </w:r>
      <w:r>
        <w:rPr>
          <w:rFonts w:cs="Times New Roman"/>
          <w:szCs w:val="24"/>
        </w:rPr>
        <w:t xml:space="preserve"> completers in their P-12 classrooms. How well the completers perform directly impacts the growth and development of the P-12 students and also stands as strong testimony of the effectiveness of the EPP’s teacher preparation program. These standards help enforce accountability, guide program improvement and ultimately lead to better schools. </w:t>
      </w:r>
      <w:r w:rsidR="002C5BE3" w:rsidRPr="00F17181">
        <w:rPr>
          <w:rFonts w:cs="Times New Roman"/>
          <w:szCs w:val="24"/>
        </w:rPr>
        <w:t xml:space="preserve">Most </w:t>
      </w:r>
      <w:r>
        <w:rPr>
          <w:rFonts w:cs="Times New Roman"/>
          <w:szCs w:val="24"/>
        </w:rPr>
        <w:t>EPPs</w:t>
      </w:r>
      <w:r w:rsidR="002C5BE3" w:rsidRPr="00F17181">
        <w:rPr>
          <w:rFonts w:cs="Times New Roman"/>
          <w:szCs w:val="24"/>
        </w:rPr>
        <w:t xml:space="preserve"> attempt to address this </w:t>
      </w:r>
      <w:r>
        <w:rPr>
          <w:rFonts w:cs="Times New Roman"/>
          <w:szCs w:val="24"/>
        </w:rPr>
        <w:t>CAEP standard</w:t>
      </w:r>
      <w:r w:rsidR="002C5BE3" w:rsidRPr="00F17181">
        <w:rPr>
          <w:rFonts w:cs="Times New Roman"/>
          <w:szCs w:val="24"/>
        </w:rPr>
        <w:t xml:space="preserve"> through surveys </w:t>
      </w:r>
      <w:r>
        <w:rPr>
          <w:rFonts w:cs="Times New Roman"/>
          <w:szCs w:val="24"/>
        </w:rPr>
        <w:t xml:space="preserve">of completers </w:t>
      </w:r>
      <w:r w:rsidR="002C5BE3" w:rsidRPr="00F17181">
        <w:rPr>
          <w:rFonts w:cs="Times New Roman"/>
          <w:szCs w:val="24"/>
        </w:rPr>
        <w:t xml:space="preserve">but have been affected by poor return rate. Surveys are also subjective by nature and results are therefore not always dependable. </w:t>
      </w:r>
      <w:r w:rsidR="00AA7755">
        <w:rPr>
          <w:rFonts w:cs="Times New Roman"/>
          <w:szCs w:val="24"/>
        </w:rPr>
        <w:t xml:space="preserve">Surveys of completers </w:t>
      </w:r>
      <w:r w:rsidR="00ED75CA">
        <w:rPr>
          <w:rFonts w:cs="Times New Roman"/>
          <w:szCs w:val="24"/>
        </w:rPr>
        <w:t>are</w:t>
      </w:r>
      <w:r w:rsidR="00AA7755">
        <w:rPr>
          <w:rFonts w:cs="Times New Roman"/>
          <w:szCs w:val="24"/>
        </w:rPr>
        <w:t xml:space="preserve"> also a linear and closed line of inquiry with little room for digging deep or for simultaneous or consistent triangulation of data. </w:t>
      </w:r>
      <w:r w:rsidR="007D5234">
        <w:rPr>
          <w:rFonts w:cs="Times New Roman"/>
          <w:szCs w:val="24"/>
        </w:rPr>
        <w:t>In an innovative twist,</w:t>
      </w:r>
      <w:r w:rsidR="006A4200">
        <w:rPr>
          <w:rFonts w:cs="Times New Roman"/>
          <w:szCs w:val="24"/>
        </w:rPr>
        <w:t xml:space="preserve"> and pursuing a more democratic</w:t>
      </w:r>
      <w:r w:rsidR="007D5234">
        <w:rPr>
          <w:rFonts w:cs="Times New Roman"/>
          <w:szCs w:val="24"/>
        </w:rPr>
        <w:t xml:space="preserve"> and scholarly approach, we conducted our self-study as a research </w:t>
      </w:r>
      <w:r w:rsidR="006A4200">
        <w:rPr>
          <w:rFonts w:cs="Times New Roman"/>
          <w:szCs w:val="24"/>
        </w:rPr>
        <w:t xml:space="preserve">study involving both </w:t>
      </w:r>
      <w:r w:rsidR="00004EFD">
        <w:rPr>
          <w:rFonts w:cs="Times New Roman"/>
          <w:szCs w:val="24"/>
        </w:rPr>
        <w:t xml:space="preserve">our program completers and our </w:t>
      </w:r>
      <w:r w:rsidR="006A4200">
        <w:rPr>
          <w:rFonts w:cs="Times New Roman"/>
          <w:szCs w:val="24"/>
        </w:rPr>
        <w:t>current teacher candidates.</w:t>
      </w:r>
    </w:p>
    <w:p w14:paraId="2CC8CE99" w14:textId="46AB8D5D" w:rsidR="007D5234" w:rsidRDefault="006A4200" w:rsidP="00DC5191">
      <w:pPr>
        <w:rPr>
          <w:rFonts w:cs="Times New Roman"/>
          <w:szCs w:val="24"/>
        </w:rPr>
      </w:pPr>
      <w:r>
        <w:rPr>
          <w:rFonts w:cs="Times New Roman"/>
          <w:szCs w:val="24"/>
        </w:rPr>
        <w:t xml:space="preserve">Our primary objective was to engage in self-study through </w:t>
      </w:r>
      <w:r w:rsidR="007D5234">
        <w:rPr>
          <w:rFonts w:cs="Times New Roman"/>
          <w:szCs w:val="24"/>
        </w:rPr>
        <w:t>qua</w:t>
      </w:r>
      <w:r>
        <w:rPr>
          <w:rFonts w:cs="Times New Roman"/>
          <w:szCs w:val="24"/>
        </w:rPr>
        <w:t>litative research methodologies. We aimed</w:t>
      </w:r>
      <w:r w:rsidR="007D5234">
        <w:rPr>
          <w:rFonts w:cs="Times New Roman"/>
          <w:szCs w:val="24"/>
        </w:rPr>
        <w:t xml:space="preserve"> to use three sources of data to determine key trends/results that would inform our program revisions.  </w:t>
      </w:r>
      <w:r>
        <w:rPr>
          <w:rFonts w:cs="Times New Roman"/>
          <w:szCs w:val="24"/>
        </w:rPr>
        <w:t>A secondary objective was to</w:t>
      </w:r>
      <w:r w:rsidR="007D5234">
        <w:rPr>
          <w:rFonts w:cs="Times New Roman"/>
          <w:szCs w:val="24"/>
        </w:rPr>
        <w:t xml:space="preserve"> </w:t>
      </w:r>
      <w:r>
        <w:rPr>
          <w:rFonts w:cs="Times New Roman"/>
          <w:szCs w:val="24"/>
        </w:rPr>
        <w:t>demonstrate</w:t>
      </w:r>
      <w:r w:rsidR="007D5234">
        <w:rPr>
          <w:rFonts w:cs="Times New Roman"/>
          <w:szCs w:val="24"/>
        </w:rPr>
        <w:t xml:space="preserve"> a</w:t>
      </w:r>
      <w:r>
        <w:rPr>
          <w:rFonts w:cs="Times New Roman"/>
          <w:szCs w:val="24"/>
        </w:rPr>
        <w:t xml:space="preserve"> new and viable method of self-study</w:t>
      </w:r>
      <w:r w:rsidR="007D5234">
        <w:rPr>
          <w:rFonts w:cs="Times New Roman"/>
          <w:szCs w:val="24"/>
        </w:rPr>
        <w:t>. Involving teacher candidates in research</w:t>
      </w:r>
      <w:r>
        <w:rPr>
          <w:rFonts w:cs="Times New Roman"/>
          <w:szCs w:val="24"/>
        </w:rPr>
        <w:t xml:space="preserve"> about the teacher preparation program</w:t>
      </w:r>
      <w:r w:rsidR="007D5234">
        <w:rPr>
          <w:rFonts w:cs="Times New Roman"/>
          <w:szCs w:val="24"/>
        </w:rPr>
        <w:t xml:space="preserve"> is not a common occurrence </w:t>
      </w:r>
      <w:r w:rsidR="00004EFD">
        <w:rPr>
          <w:rFonts w:cs="Times New Roman"/>
          <w:szCs w:val="24"/>
        </w:rPr>
        <w:t>and</w:t>
      </w:r>
      <w:r w:rsidR="007D5234">
        <w:rPr>
          <w:rFonts w:cs="Times New Roman"/>
          <w:szCs w:val="24"/>
        </w:rPr>
        <w:t xml:space="preserve"> our efforts underscored the feasibility and the viability of this </w:t>
      </w:r>
      <w:r>
        <w:rPr>
          <w:rFonts w:cs="Times New Roman"/>
          <w:szCs w:val="24"/>
        </w:rPr>
        <w:t>self-study practice</w:t>
      </w:r>
      <w:r w:rsidR="007D5234">
        <w:rPr>
          <w:rFonts w:cs="Times New Roman"/>
          <w:szCs w:val="24"/>
        </w:rPr>
        <w:t>.</w:t>
      </w:r>
    </w:p>
    <w:p w14:paraId="5FBB69AE" w14:textId="6FC0B778" w:rsidR="00ED75CA" w:rsidRPr="00ED75CA" w:rsidRDefault="007D5234" w:rsidP="00ED75CA">
      <w:pPr>
        <w:jc w:val="center"/>
        <w:rPr>
          <w:rFonts w:cs="Times New Roman"/>
          <w:szCs w:val="24"/>
        </w:rPr>
      </w:pPr>
      <w:r>
        <w:rPr>
          <w:rFonts w:cs="Times New Roman"/>
          <w:szCs w:val="24"/>
        </w:rPr>
        <w:t>Perspectives and Research</w:t>
      </w:r>
      <w:r w:rsidR="00ED75CA">
        <w:rPr>
          <w:rFonts w:cs="Times New Roman"/>
          <w:szCs w:val="24"/>
        </w:rPr>
        <w:t xml:space="preserve"> </w:t>
      </w:r>
      <w:r>
        <w:rPr>
          <w:rFonts w:cs="Times New Roman"/>
          <w:szCs w:val="24"/>
        </w:rPr>
        <w:t>Review</w:t>
      </w:r>
    </w:p>
    <w:p w14:paraId="3B425D78" w14:textId="407D9ECE" w:rsidR="00ED75CA" w:rsidRPr="00F17181" w:rsidRDefault="00ED75CA" w:rsidP="00DC5191">
      <w:pPr>
        <w:rPr>
          <w:rFonts w:cs="Times New Roman"/>
          <w:szCs w:val="24"/>
        </w:rPr>
      </w:pPr>
      <w:r>
        <w:rPr>
          <w:rFonts w:cs="Times New Roman"/>
          <w:szCs w:val="24"/>
        </w:rPr>
        <w:t xml:space="preserve">Our proposal and the research therein stem from the principal objective to consider an innovative and democratic approach to teacher education, </w:t>
      </w:r>
      <w:r>
        <w:rPr>
          <w:rFonts w:cs="Times New Roman"/>
          <w:szCs w:val="24"/>
        </w:rPr>
        <w:fldChar w:fldCharType="begin"/>
      </w:r>
      <w:r>
        <w:rPr>
          <w:rFonts w:cs="Times New Roman"/>
          <w:szCs w:val="24"/>
        </w:rPr>
        <w:instrText xml:space="preserve"> ADDIN EN.CITE &lt;EndNote&gt;&lt;Cite&gt;&lt;Author&gt;Zeichner&lt;/Author&gt;&lt;Year&gt;2015&lt;/Year&gt;&lt;RecNum&gt;3915&lt;/RecNum&gt;&lt;DisplayText&gt;(Zeichner, Payne, &amp;amp; Brayko, 2015)&lt;/DisplayText&gt;&lt;record&gt;&lt;rec-number&gt;3915&lt;/rec-number&gt;&lt;foreign-keys&gt;&lt;key app="EN" db-id="verdwsv5drss28evwaav22d099pdwfsrev02" timestamp="1559148591"&gt;3915&lt;/key&gt;&lt;/foreign-keys&gt;&lt;ref-type name="Journal Article"&gt;17&lt;/ref-type&gt;&lt;contributors&gt;&lt;authors&gt;&lt;author&gt;Zeichner, Ken&lt;/author&gt;&lt;author&gt;Payne, Katherina A.&lt;/author&gt;&lt;author&gt;Brayko, Kate&lt;/author&gt;&lt;/authors&gt;&lt;/contributors&gt;&lt;titles&gt;&lt;title&gt;Democratizing Teacher Education&lt;/title&gt;&lt;secondary-title&gt;Journal of Teacher Education&lt;/secondary-title&gt;&lt;/titles&gt;&lt;pages&gt;122-135&lt;/pages&gt;&lt;volume&gt;66&lt;/volume&gt;&lt;number&gt;2&lt;/number&gt;&lt;keywords&gt;&lt;keyword&gt;Teacher Education&lt;/keyword&gt;&lt;keyword&gt;Teacher Education Programs&lt;/keyword&gt;&lt;keyword&gt;Educational Change&lt;/keyword&gt;&lt;keyword&gt;Educational Practices&lt;/keyword&gt;&lt;keyword&gt;Change Strategies&lt;/keyword&gt;&lt;keyword&gt;Preservice Teacher Education&lt;/keyword&gt;&lt;keyword&gt;Social Justice&lt;/keyword&gt;&lt;keyword&gt;Partnerships In Education&lt;/keyword&gt;&lt;keyword&gt;Epistemology&lt;/keyword&gt;&lt;keyword&gt;Educational Cooperation&lt;/keyword&gt;&lt;keyword&gt;School Community Programs&lt;/keyword&gt;&lt;keyword&gt;Teacher Educators&lt;/keyword&gt;&lt;keyword&gt;Educational Development&lt;/keyword&gt;&lt;keyword&gt;College School Cooperation&lt;/keyword&gt;&lt;/keywords&gt;&lt;dates&gt;&lt;year&gt;2015&lt;/year&gt;&lt;/dates&gt;&lt;isbn&gt;0022-4871&lt;/isbn&gt;&lt;urls&gt;&lt;/urls&gt;&lt;/record&gt;&lt;/Cite&gt;&lt;/EndNote&gt;</w:instrText>
      </w:r>
      <w:r>
        <w:rPr>
          <w:rFonts w:cs="Times New Roman"/>
          <w:szCs w:val="24"/>
        </w:rPr>
        <w:fldChar w:fldCharType="separate"/>
      </w:r>
      <w:r>
        <w:rPr>
          <w:rFonts w:cs="Times New Roman"/>
          <w:noProof/>
          <w:szCs w:val="24"/>
        </w:rPr>
        <w:t>(Zeichner, Payne, &amp; Brayko, 2015)</w:t>
      </w:r>
      <w:r>
        <w:rPr>
          <w:rFonts w:cs="Times New Roman"/>
          <w:szCs w:val="24"/>
        </w:rPr>
        <w:fldChar w:fldCharType="end"/>
      </w:r>
      <w:r>
        <w:rPr>
          <w:rFonts w:cs="Times New Roman"/>
          <w:szCs w:val="24"/>
        </w:rPr>
        <w:t xml:space="preserve">. These approaches call for shaking the boundaries that structure EPP’s work and to engage in a collaborative model that pulls in diverse voices </w:t>
      </w:r>
      <w:r>
        <w:rPr>
          <w:rFonts w:cs="Times New Roman"/>
          <w:szCs w:val="24"/>
        </w:rPr>
        <w:fldChar w:fldCharType="begin"/>
      </w:r>
      <w:r>
        <w:rPr>
          <w:rFonts w:cs="Times New Roman"/>
          <w:szCs w:val="24"/>
        </w:rPr>
        <w:instrText xml:space="preserve"> ADDIN EN.CITE &lt;EndNote&gt;&lt;Cite&gt;&lt;Author&gt;Bavonese&lt;/Author&gt;&lt;Year&gt;2017&lt;/Year&gt;&lt;RecNum&gt;3908&lt;/RecNum&gt;&lt;DisplayText&gt;(Bavonese, Connor, Valerie, Beard, &amp;amp; O’wens, 2017)&lt;/DisplayText&gt;&lt;record&gt;&lt;rec-number&gt;3908&lt;/rec-number&gt;&lt;foreign-keys&gt;&lt;key app="EN" db-id="verdwsv5drss28evwaav22d099pdwfsrev02" timestamp="1559148591"&gt;3908&lt;/key&gt;&lt;/foreign-keys&gt;&lt;ref-type name="Journal Article"&gt;17&lt;/ref-type&gt;&lt;contributors&gt;&lt;authors&gt;&lt;author&gt;Bavonese, Janet L.&lt;/author&gt;&lt;author&gt;Connor, Cynthia&lt;/author&gt;&lt;author&gt;Wheat. Valerie&lt;/author&gt;&lt;author&gt;Beard, Larry&lt;/author&gt;&lt;author&gt;O’wens, Lynetta A.&lt;/author&gt;&lt;/authors&gt;&lt;/contributors&gt;&lt;titles&gt;&lt;title&gt;Collaboration opportunities within university teacher education programs&lt;/title&gt;&lt;secondary-title&gt;Journal of education &amp;amp; Social Policy&lt;/secondary-title&gt;&lt;/titles&gt;&lt;pages&gt;72-79&lt;/pages&gt;&lt;volume&gt;4&lt;/volume&gt;&lt;number&gt;2&lt;/number&gt;&lt;dates&gt;&lt;year&gt;2017&lt;/year&gt;&lt;/dates&gt;&lt;urls&gt;&lt;/urls&gt;&lt;/record&gt;&lt;/Cite&gt;&lt;/EndNote&gt;</w:instrText>
      </w:r>
      <w:r>
        <w:rPr>
          <w:rFonts w:cs="Times New Roman"/>
          <w:szCs w:val="24"/>
        </w:rPr>
        <w:fldChar w:fldCharType="separate"/>
      </w:r>
      <w:r>
        <w:rPr>
          <w:rFonts w:cs="Times New Roman"/>
          <w:noProof/>
          <w:szCs w:val="24"/>
        </w:rPr>
        <w:t>(Bavonese, Connor, Valerie, Beard, &amp; O’wens, 2017)</w:t>
      </w:r>
      <w:r>
        <w:rPr>
          <w:rFonts w:cs="Times New Roman"/>
          <w:szCs w:val="24"/>
        </w:rPr>
        <w:fldChar w:fldCharType="end"/>
      </w:r>
      <w:r>
        <w:rPr>
          <w:rFonts w:cs="Times New Roman"/>
          <w:szCs w:val="24"/>
        </w:rPr>
        <w:t xml:space="preserve">. We accept the complexity of this effort and follow the tripartite outlook prescribed by prior research </w:t>
      </w:r>
      <w:r>
        <w:rPr>
          <w:rFonts w:cs="Times New Roman"/>
          <w:szCs w:val="24"/>
        </w:rPr>
        <w:fldChar w:fldCharType="begin"/>
      </w:r>
      <w:r>
        <w:rPr>
          <w:rFonts w:cs="Times New Roman"/>
          <w:szCs w:val="24"/>
        </w:rPr>
        <w:instrText xml:space="preserve"> ADDIN EN.CITE &lt;EndNote&gt;&lt;Cite&gt;&lt;Author&gt;Diez&lt;/Author&gt;&lt;Year&gt;2010&lt;/Year&gt;&lt;RecNum&gt;3909&lt;/RecNum&gt;&lt;DisplayText&gt;(Diez, 2010)&lt;/DisplayText&gt;&lt;record&gt;&lt;rec-number&gt;3909&lt;/rec-number&gt;&lt;foreign-keys&gt;&lt;key app="EN" db-id="verdwsv5drss28evwaav22d099pdwfsrev02" timestamp="1559148591"&gt;3909&lt;/key&gt;&lt;/foreign-keys&gt;&lt;ref-type name="Journal Article"&gt;17&lt;/ref-type&gt;&lt;contributors&gt;&lt;authors&gt;&lt;author&gt;Diez, Mary E.&lt;/author&gt;&lt;/authors&gt;&lt;/contributors&gt;&lt;titles&gt;&lt;title&gt;It Is Complicated: Unpacking the Flow of Teacher Education’s Impact on Student Learning&lt;/title&gt;&lt;secondary-title&gt;Journal of Teacher Education&lt;/secondary-title&gt;&lt;/titles&gt;&lt;pages&gt;441-450&lt;/pages&gt;&lt;volume&gt;61&lt;/volume&gt;&lt;number&gt;5&lt;/number&gt;&lt;keywords&gt;&lt;keyword&gt;Teacher Education&lt;/keyword&gt;&lt;keyword&gt;Program Coherence&lt;/keyword&gt;&lt;keyword&gt;Educational Policy&lt;/keyword&gt;&lt;keyword&gt;Reform&lt;/keyword&gt;&lt;keyword&gt;Education&lt;/keyword&gt;&lt;/keywords&gt;&lt;dates&gt;&lt;year&gt;2010&lt;/year&gt;&lt;/dates&gt;&lt;pub-location&gt;Los Angeles, CA&lt;/pub-location&gt;&lt;isbn&gt;0022-4871&lt;/isbn&gt;&lt;urls&gt;&lt;/urls&gt;&lt;/record&gt;&lt;/Cite&gt;&lt;/EndNote&gt;</w:instrText>
      </w:r>
      <w:r>
        <w:rPr>
          <w:rFonts w:cs="Times New Roman"/>
          <w:szCs w:val="24"/>
        </w:rPr>
        <w:fldChar w:fldCharType="separate"/>
      </w:r>
      <w:r>
        <w:rPr>
          <w:rFonts w:cs="Times New Roman"/>
          <w:noProof/>
          <w:szCs w:val="24"/>
        </w:rPr>
        <w:t>(Diez, 2010)</w:t>
      </w:r>
      <w:r>
        <w:rPr>
          <w:rFonts w:cs="Times New Roman"/>
          <w:szCs w:val="24"/>
        </w:rPr>
        <w:fldChar w:fldCharType="end"/>
      </w:r>
      <w:r>
        <w:rPr>
          <w:rFonts w:cs="Times New Roman"/>
          <w:szCs w:val="24"/>
        </w:rPr>
        <w:t xml:space="preserve">, and as described above. Our analyses and determination of trends underscore the deep connections between and within clinical practices </w:t>
      </w:r>
      <w:r>
        <w:rPr>
          <w:rFonts w:cs="Times New Roman"/>
          <w:szCs w:val="24"/>
        </w:rPr>
        <w:fldChar w:fldCharType="begin"/>
      </w:r>
      <w:r>
        <w:rPr>
          <w:rFonts w:cs="Times New Roman"/>
          <w:szCs w:val="24"/>
        </w:rPr>
        <w:instrText xml:space="preserve"> ADDIN EN.CITE &lt;EndNote&gt;&lt;Cite&gt;&lt;Author&gt;Heafner&lt;/Author&gt;&lt;Year&gt;2014&lt;/Year&gt;&lt;RecNum&gt;3911&lt;/RecNum&gt;&lt;DisplayText&gt;(Heafner, McIntyre, &amp;amp; Spooner, 2014)&lt;/DisplayText&gt;&lt;record&gt;&lt;rec-number&gt;3911&lt;/rec-number&gt;&lt;foreign-keys&gt;&lt;key app="EN" db-id="verdwsv5drss28evwaav22d099pdwfsrev02" timestamp="1559148591"&gt;3911&lt;/key&gt;&lt;/foreign-keys&gt;&lt;ref-type name="Journal Article"&gt;17&lt;/ref-type&gt;&lt;contributors&gt;&lt;authors&gt;&lt;author&gt;Heafner, Tina&lt;/author&gt;&lt;author&gt;McIntyre, Ellen&lt;/author&gt;&lt;author&gt;Spooner, Melba&lt;/author&gt;&lt;/authors&gt;&lt;/contributors&gt;&lt;titles&gt;&lt;title&gt;The CAEP standards and research on educator preparation programs: Linking clinical partnerships with program impact&lt;/title&gt;&lt;secondary-title&gt;Peabody Journal of Education&lt;/secondary-title&gt;&lt;/titles&gt;&lt;pages&gt;516-532&lt;/pages&gt;&lt;volume&gt;89&lt;/volume&gt;&lt;number&gt;4&lt;/number&gt;&lt;keywords&gt;&lt;keyword&gt;CAEP&lt;/keyword&gt;&lt;keyword&gt;teacher education&lt;/keyword&gt;&lt;keyword&gt;program impact&lt;/keyword&gt;&lt;/keywords&gt;&lt;dates&gt;&lt;year&gt;2014&lt;/year&gt;&lt;/dates&gt;&lt;urls&gt;&lt;/urls&gt;&lt;/record&gt;&lt;/Cite&gt;&lt;/EndNote&gt;</w:instrText>
      </w:r>
      <w:r>
        <w:rPr>
          <w:rFonts w:cs="Times New Roman"/>
          <w:szCs w:val="24"/>
        </w:rPr>
        <w:fldChar w:fldCharType="separate"/>
      </w:r>
      <w:r>
        <w:rPr>
          <w:rFonts w:cs="Times New Roman"/>
          <w:noProof/>
          <w:szCs w:val="24"/>
        </w:rPr>
        <w:t>(Heafner, McIntyre, &amp; Spooner, 2014)</w:t>
      </w:r>
      <w:r>
        <w:rPr>
          <w:rFonts w:cs="Times New Roman"/>
          <w:szCs w:val="24"/>
        </w:rPr>
        <w:fldChar w:fldCharType="end"/>
      </w:r>
      <w:r>
        <w:rPr>
          <w:rFonts w:cs="Times New Roman"/>
          <w:szCs w:val="24"/>
        </w:rPr>
        <w:t>. Finally, by engaging teacher candidates as research assistants, we were able to address the attitudes and beliefs of pre</w:t>
      </w:r>
      <w:r w:rsidR="009D08C4">
        <w:rPr>
          <w:rFonts w:cs="Times New Roman"/>
          <w:szCs w:val="24"/>
        </w:rPr>
        <w:t>-</w:t>
      </w:r>
      <w:r>
        <w:rPr>
          <w:rFonts w:cs="Times New Roman"/>
          <w:szCs w:val="24"/>
        </w:rPr>
        <w:t xml:space="preserve">service teachers as they affect their own learning </w:t>
      </w:r>
      <w:r>
        <w:rPr>
          <w:rFonts w:cs="Times New Roman"/>
          <w:szCs w:val="24"/>
        </w:rPr>
        <w:fldChar w:fldCharType="begin">
          <w:fldData xml:space="preserve">PEVuZE5vdGU+PENpdGU+PEF1dGhvcj5OdXR0YWxsPC9BdXRob3I+PFllYXI+MjAxNjwvWWVhcj48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</w:fldData>
        </w:fldChar>
      </w:r>
      <w:r>
        <w:rPr>
          <w:rFonts w:cs="Times New Roman"/>
          <w:szCs w:val="24"/>
        </w:rPr>
        <w:instrText xml:space="preserve"> ADDIN EN.CITE </w:instrText>
      </w:r>
      <w:r>
        <w:rPr>
          <w:rFonts w:cs="Times New Roman"/>
          <w:szCs w:val="24"/>
        </w:rPr>
        <w:fldChar w:fldCharType="begin">
          <w:fldData xml:space="preserve">PEVuZE5vdGU+PENpdGU+PEF1dGhvcj5OdXR0YWxsPC9BdXRob3I+PFllYXI+MjAxNjwvWWVhcj48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rPr>
        <w:t>(Nuttall, 2016; Thomas, 2014; Yeh &amp; Santagata, 2015)</w:t>
      </w:r>
      <w:r>
        <w:rPr>
          <w:rFonts w:cs="Times New Roman"/>
          <w:szCs w:val="24"/>
        </w:rPr>
        <w:fldChar w:fldCharType="end"/>
      </w:r>
      <w:r>
        <w:rPr>
          <w:rFonts w:cs="Times New Roman"/>
          <w:szCs w:val="24"/>
        </w:rPr>
        <w:t xml:space="preserve">. </w:t>
      </w:r>
    </w:p>
    <w:p w14:paraId="6DAF44E9" w14:textId="1C11750D" w:rsidR="00ED75CA" w:rsidRPr="00ED75CA" w:rsidRDefault="00ED75CA" w:rsidP="00ED75CA">
      <w:pPr>
        <w:jc w:val="center"/>
        <w:rPr>
          <w:rFonts w:cs="Times New Roman"/>
          <w:szCs w:val="24"/>
        </w:rPr>
      </w:pPr>
      <w:r>
        <w:rPr>
          <w:rFonts w:cs="Times New Roman"/>
          <w:szCs w:val="24"/>
        </w:rPr>
        <w:lastRenderedPageBreak/>
        <w:t>Methods</w:t>
      </w:r>
    </w:p>
    <w:p w14:paraId="2B2FB544" w14:textId="77777777" w:rsidR="007D5234" w:rsidRPr="00F17181" w:rsidRDefault="007D5234" w:rsidP="007D5234">
      <w:pPr>
        <w:rPr>
          <w:rFonts w:cs="Times New Roman"/>
          <w:szCs w:val="24"/>
        </w:rPr>
      </w:pPr>
      <w:r w:rsidRPr="00F17181">
        <w:rPr>
          <w:rFonts w:cs="Times New Roman"/>
          <w:szCs w:val="24"/>
          <w:u w:val="single"/>
        </w:rPr>
        <w:t xml:space="preserve">Identification of </w:t>
      </w:r>
      <w:r>
        <w:rPr>
          <w:rFonts w:cs="Times New Roman"/>
          <w:szCs w:val="24"/>
          <w:u w:val="single"/>
        </w:rPr>
        <w:t xml:space="preserve">program </w:t>
      </w:r>
      <w:r w:rsidRPr="00F17181">
        <w:rPr>
          <w:rFonts w:cs="Times New Roman"/>
          <w:szCs w:val="24"/>
          <w:u w:val="single"/>
        </w:rPr>
        <w:t>completers</w:t>
      </w:r>
      <w:r w:rsidRPr="00F17181">
        <w:rPr>
          <w:rFonts w:cs="Times New Roman"/>
          <w:szCs w:val="24"/>
        </w:rPr>
        <w:t xml:space="preserve">: </w:t>
      </w:r>
      <w:r>
        <w:rPr>
          <w:rFonts w:cs="Times New Roman"/>
          <w:szCs w:val="24"/>
        </w:rPr>
        <w:t>Our</w:t>
      </w:r>
      <w:r w:rsidRPr="00F17181">
        <w:rPr>
          <w:rFonts w:cs="Times New Roman"/>
          <w:szCs w:val="24"/>
        </w:rPr>
        <w:t xml:space="preserve"> first step was to create a list of our program completers who </w:t>
      </w:r>
      <w:r>
        <w:rPr>
          <w:rFonts w:cs="Times New Roman"/>
          <w:szCs w:val="24"/>
        </w:rPr>
        <w:t xml:space="preserve">had </w:t>
      </w:r>
      <w:r w:rsidRPr="00F17181">
        <w:rPr>
          <w:rFonts w:cs="Times New Roman"/>
          <w:szCs w:val="24"/>
        </w:rPr>
        <w:t xml:space="preserve">graduated from our programs at least three to five years back. From this pool, select completers from each of our programs (early childhood, elementary, secondary and physical education) were identified. Selection was based on availability, employment in a diverse location, or diversity of completers. Everyone in this selected pool was contacted via email to participate in the study. While initially many completers agreed to participate in the study, only 4 </w:t>
      </w:r>
      <w:r>
        <w:rPr>
          <w:rFonts w:cs="Times New Roman"/>
          <w:szCs w:val="24"/>
        </w:rPr>
        <w:t xml:space="preserve">(one each from each of our programs) </w:t>
      </w:r>
      <w:r w:rsidRPr="00F17181">
        <w:rPr>
          <w:rFonts w:cs="Times New Roman"/>
          <w:szCs w:val="24"/>
        </w:rPr>
        <w:t>were finally able to complete all aspects of the study. Most others were either unavailable or did not respond.</w:t>
      </w:r>
    </w:p>
    <w:p w14:paraId="1AAC5DCB" w14:textId="640E5843" w:rsidR="007D5234" w:rsidRDefault="007D5234" w:rsidP="007D5234">
      <w:pPr>
        <w:rPr>
          <w:rFonts w:cs="Times New Roman"/>
          <w:szCs w:val="24"/>
        </w:rPr>
      </w:pPr>
      <w:r w:rsidRPr="007D5234">
        <w:rPr>
          <w:rFonts w:cs="Times New Roman"/>
          <w:szCs w:val="24"/>
          <w:u w:val="single"/>
        </w:rPr>
        <w:t>Research assistants</w:t>
      </w:r>
      <w:r>
        <w:rPr>
          <w:rFonts w:cs="Times New Roman"/>
          <w:szCs w:val="24"/>
        </w:rPr>
        <w:t>: Two current teacher education candidates served as research assistants in this study</w:t>
      </w:r>
      <w:r w:rsidRPr="00F17181">
        <w:rPr>
          <w:rFonts w:cs="Times New Roman"/>
          <w:szCs w:val="24"/>
        </w:rPr>
        <w:t>.</w:t>
      </w:r>
      <w:r>
        <w:rPr>
          <w:rFonts w:cs="Times New Roman"/>
          <w:szCs w:val="24"/>
        </w:rPr>
        <w:t xml:space="preserve"> These two c</w:t>
      </w:r>
      <w:r w:rsidRPr="00F17181">
        <w:rPr>
          <w:rFonts w:cs="Times New Roman"/>
          <w:szCs w:val="24"/>
        </w:rPr>
        <w:t>andidates</w:t>
      </w:r>
      <w:r>
        <w:rPr>
          <w:rFonts w:cs="Times New Roman"/>
          <w:szCs w:val="24"/>
        </w:rPr>
        <w:t>, incidentally Holmes Scholars, were mentored by teacher education faculty on the rigors of research protocols, including various forms of data collection and trends analyses. They</w:t>
      </w:r>
      <w:r w:rsidRPr="00F17181">
        <w:rPr>
          <w:rFonts w:cs="Times New Roman"/>
          <w:szCs w:val="24"/>
        </w:rPr>
        <w:t xml:space="preserve"> conducted </w:t>
      </w:r>
      <w:r>
        <w:rPr>
          <w:rFonts w:cs="Times New Roman"/>
          <w:szCs w:val="24"/>
        </w:rPr>
        <w:t xml:space="preserve">the </w:t>
      </w:r>
      <w:r w:rsidRPr="00F17181">
        <w:rPr>
          <w:rFonts w:cs="Times New Roman"/>
          <w:szCs w:val="24"/>
        </w:rPr>
        <w:t>two-step interviews of completers</w:t>
      </w:r>
      <w:r>
        <w:rPr>
          <w:rFonts w:cs="Times New Roman"/>
          <w:szCs w:val="24"/>
        </w:rPr>
        <w:t xml:space="preserve"> (see below)</w:t>
      </w:r>
      <w:r w:rsidRPr="00F17181">
        <w:rPr>
          <w:rFonts w:cs="Times New Roman"/>
          <w:szCs w:val="24"/>
        </w:rPr>
        <w:t xml:space="preserve">, completed classroom observations and asked the employer of the completers to complete a survey of effectiveness.  </w:t>
      </w:r>
      <w:r>
        <w:rPr>
          <w:rFonts w:cs="Times New Roman"/>
          <w:szCs w:val="24"/>
        </w:rPr>
        <w:t>Once the data had been collected and pooled, the research assistants</w:t>
      </w:r>
      <w:r w:rsidRPr="00F17181">
        <w:rPr>
          <w:rFonts w:cs="Times New Roman"/>
          <w:szCs w:val="24"/>
        </w:rPr>
        <w:t xml:space="preserve"> </w:t>
      </w:r>
      <w:r>
        <w:rPr>
          <w:rFonts w:cs="Times New Roman"/>
          <w:szCs w:val="24"/>
        </w:rPr>
        <w:t xml:space="preserve">independently identified key </w:t>
      </w:r>
      <w:r w:rsidRPr="00F17181">
        <w:rPr>
          <w:rFonts w:cs="Times New Roman"/>
          <w:szCs w:val="24"/>
        </w:rPr>
        <w:t>trends</w:t>
      </w:r>
      <w:r>
        <w:rPr>
          <w:rFonts w:cs="Times New Roman"/>
          <w:szCs w:val="24"/>
        </w:rPr>
        <w:t xml:space="preserve">. </w:t>
      </w:r>
    </w:p>
    <w:p w14:paraId="4ECE05DF" w14:textId="276836E3" w:rsidR="00DC5191" w:rsidRPr="00F17181" w:rsidRDefault="00DC5191" w:rsidP="00DC5191">
      <w:pPr>
        <w:rPr>
          <w:rFonts w:cs="Times New Roman"/>
          <w:szCs w:val="24"/>
        </w:rPr>
      </w:pPr>
      <w:r w:rsidRPr="00F17181">
        <w:rPr>
          <w:rFonts w:cs="Times New Roman"/>
          <w:szCs w:val="24"/>
          <w:u w:val="single"/>
        </w:rPr>
        <w:t>Data and Data Analyses</w:t>
      </w:r>
      <w:r w:rsidRPr="00F17181">
        <w:rPr>
          <w:rFonts w:cs="Times New Roman"/>
          <w:szCs w:val="24"/>
        </w:rPr>
        <w:t>: Data for this research comprised of 1) a two-step interview process using the Seidman model, followed by 2) a classroom observati</w:t>
      </w:r>
      <w:r w:rsidR="00AA7755">
        <w:rPr>
          <w:rFonts w:cs="Times New Roman"/>
          <w:szCs w:val="24"/>
        </w:rPr>
        <w:t xml:space="preserve">on, and 3) an employer survey. </w:t>
      </w:r>
      <w:r w:rsidR="00885455">
        <w:rPr>
          <w:rFonts w:cs="Times New Roman"/>
          <w:szCs w:val="24"/>
        </w:rPr>
        <w:t>Measurement of program impact was based off our</w:t>
      </w:r>
      <w:r w:rsidR="00AA7755">
        <w:rPr>
          <w:rFonts w:cs="Times New Roman"/>
          <w:szCs w:val="24"/>
        </w:rPr>
        <w:t xml:space="preserve"> EPP’s </w:t>
      </w:r>
      <w:r w:rsidRPr="00F17181">
        <w:rPr>
          <w:rFonts w:cs="Times New Roman"/>
          <w:szCs w:val="24"/>
        </w:rPr>
        <w:t xml:space="preserve">Candidate Learning Outcomes (CLO). Our CLOs are </w:t>
      </w:r>
      <w:r w:rsidR="00AA7755">
        <w:rPr>
          <w:rFonts w:cs="Times New Roman"/>
          <w:szCs w:val="24"/>
        </w:rPr>
        <w:t>structured</w:t>
      </w:r>
      <w:r w:rsidRPr="00F17181">
        <w:rPr>
          <w:rFonts w:cs="Times New Roman"/>
          <w:szCs w:val="24"/>
        </w:rPr>
        <w:t xml:space="preserve"> </w:t>
      </w:r>
      <w:r w:rsidR="00AA7755">
        <w:rPr>
          <w:rFonts w:cs="Times New Roman"/>
          <w:szCs w:val="24"/>
        </w:rPr>
        <w:t>around</w:t>
      </w:r>
      <w:r w:rsidRPr="00F17181">
        <w:rPr>
          <w:rFonts w:cs="Times New Roman"/>
          <w:szCs w:val="24"/>
        </w:rPr>
        <w:t xml:space="preserve"> four </w:t>
      </w:r>
      <w:r w:rsidR="00AA7755">
        <w:rPr>
          <w:rFonts w:cs="Times New Roman"/>
          <w:szCs w:val="24"/>
        </w:rPr>
        <w:t xml:space="preserve">major </w:t>
      </w:r>
      <w:r w:rsidRPr="00F17181">
        <w:rPr>
          <w:rFonts w:cs="Times New Roman"/>
          <w:szCs w:val="24"/>
        </w:rPr>
        <w:t>domains: Intentional Teaching, Data Literacy, Cultural Competence and Professional Practice. A series of questions were developed to align to each of these domains with the intention of first eliciting the completers’ awareness of these domains (interview step 1) and la</w:t>
      </w:r>
      <w:r w:rsidR="00885455">
        <w:rPr>
          <w:rFonts w:cs="Times New Roman"/>
          <w:szCs w:val="24"/>
        </w:rPr>
        <w:t xml:space="preserve">ter determining the completers’ </w:t>
      </w:r>
      <w:r w:rsidRPr="00F17181">
        <w:rPr>
          <w:rFonts w:cs="Times New Roman"/>
          <w:szCs w:val="24"/>
        </w:rPr>
        <w:t xml:space="preserve">application of these domains (interview step 2). In the follow-up classroom observation, select items from our student teaching evaluation instrument that focused on these four domains were utilized to guide our observations and to document anecdotal records. The employer survey followed a similar protocol asking the employers to rate our completers (their employees) on the extent to which they showed awareness and application of the four domains of our CLOs. Analyses of data included determination of trends independently by each of the research assistants and the teacher educators, followed by </w:t>
      </w:r>
      <w:r w:rsidR="006A4200">
        <w:rPr>
          <w:rFonts w:cs="Times New Roman"/>
          <w:szCs w:val="24"/>
        </w:rPr>
        <w:t xml:space="preserve">determination of corroborating data and </w:t>
      </w:r>
      <w:r w:rsidRPr="00F17181">
        <w:rPr>
          <w:rFonts w:cs="Times New Roman"/>
          <w:szCs w:val="24"/>
        </w:rPr>
        <w:t xml:space="preserve">member checking. </w:t>
      </w:r>
    </w:p>
    <w:p w14:paraId="1C493E64" w14:textId="77777777" w:rsidR="00ED75CA" w:rsidRPr="00ED75CA" w:rsidRDefault="00DC5191" w:rsidP="00ED75CA">
      <w:pPr>
        <w:jc w:val="center"/>
        <w:rPr>
          <w:rFonts w:cs="Times New Roman"/>
          <w:szCs w:val="24"/>
        </w:rPr>
      </w:pPr>
      <w:r w:rsidRPr="00ED75CA">
        <w:rPr>
          <w:rFonts w:cs="Times New Roman"/>
          <w:szCs w:val="24"/>
        </w:rPr>
        <w:t>Results</w:t>
      </w:r>
    </w:p>
    <w:p w14:paraId="50C41819" w14:textId="47FEA1D8" w:rsidR="00DC5191" w:rsidRPr="00F17181" w:rsidRDefault="006A4200" w:rsidP="00DC5191">
      <w:pPr>
        <w:rPr>
          <w:rFonts w:cs="Times New Roman"/>
          <w:szCs w:val="24"/>
        </w:rPr>
      </w:pPr>
      <w:r w:rsidRPr="006A4200">
        <w:rPr>
          <w:rFonts w:cs="Times New Roman"/>
          <w:szCs w:val="24"/>
          <w:u w:val="single"/>
        </w:rPr>
        <w:t>Program effectiveness</w:t>
      </w:r>
      <w:r>
        <w:rPr>
          <w:rFonts w:cs="Times New Roman"/>
          <w:szCs w:val="24"/>
        </w:rPr>
        <w:t xml:space="preserve">: Our educator preparation program has identified four learning outcomes for our programs (see above). Of these </w:t>
      </w:r>
      <w:r w:rsidR="00DC5191" w:rsidRPr="00F17181">
        <w:rPr>
          <w:rFonts w:cs="Times New Roman"/>
          <w:szCs w:val="24"/>
        </w:rPr>
        <w:t>four, both Intentional Teaching and Cultural Competence ranked high in terms of awareness</w:t>
      </w:r>
      <w:r>
        <w:rPr>
          <w:rFonts w:cs="Times New Roman"/>
          <w:szCs w:val="24"/>
        </w:rPr>
        <w:t xml:space="preserve"> across all the program completers</w:t>
      </w:r>
      <w:r w:rsidR="00DC5191" w:rsidRPr="00F17181">
        <w:rPr>
          <w:rFonts w:cs="Times New Roman"/>
          <w:szCs w:val="24"/>
        </w:rPr>
        <w:t xml:space="preserve">. Almost all the completers included both of these major domains as areas of their own expertise, and attributed their knowledge to our EPP. But completers did not feel that the EPP prepared them enough on Data Literacy. All completers acknowledged the efforts of the EPP in emphasizing and demonstrating Professional Practice. </w:t>
      </w:r>
    </w:p>
    <w:p w14:paraId="0DDD59FE" w14:textId="257B1DCC" w:rsidR="00DC5191" w:rsidRPr="00F17181" w:rsidRDefault="00DC5191" w:rsidP="00DC5191">
      <w:pPr>
        <w:rPr>
          <w:rFonts w:cs="Times New Roman"/>
          <w:szCs w:val="24"/>
        </w:rPr>
      </w:pPr>
      <w:r w:rsidRPr="00F17181">
        <w:rPr>
          <w:rFonts w:cs="Times New Roman"/>
          <w:szCs w:val="24"/>
        </w:rPr>
        <w:t>Observations of classroom and the data from the employer survey indicated a slightly different pattern. Intentional Teaching continued to rank high in</w:t>
      </w:r>
      <w:r w:rsidR="006A4200">
        <w:rPr>
          <w:rFonts w:cs="Times New Roman"/>
          <w:szCs w:val="24"/>
        </w:rPr>
        <w:t xml:space="preserve"> classroom</w:t>
      </w:r>
      <w:r w:rsidRPr="00F17181">
        <w:rPr>
          <w:rFonts w:cs="Times New Roman"/>
          <w:szCs w:val="24"/>
        </w:rPr>
        <w:t xml:space="preserve"> </w:t>
      </w:r>
      <w:r w:rsidR="006A4200">
        <w:rPr>
          <w:rFonts w:cs="Times New Roman"/>
          <w:szCs w:val="24"/>
        </w:rPr>
        <w:t>observations</w:t>
      </w:r>
      <w:r w:rsidRPr="00F17181">
        <w:rPr>
          <w:rFonts w:cs="Times New Roman"/>
          <w:szCs w:val="24"/>
        </w:rPr>
        <w:t xml:space="preserve">. Completers demonstrated this in terms of their lesson planning, classroom arrangements, formative assessments and summative evaluations. Completers demonstrated their abilities to apply cultural competence in differentiations of instructional methods and assessments. Data Literacy </w:t>
      </w:r>
      <w:r w:rsidRPr="00F17181">
        <w:rPr>
          <w:rFonts w:cs="Times New Roman"/>
          <w:szCs w:val="24"/>
        </w:rPr>
        <w:lastRenderedPageBreak/>
        <w:t>was not as quickly evident but that could also be a function of the time of observations. Completers did share many applications of data usage in their own practice, even if they could not attribute the knowledge to their teacher preparation program. All completers were confident about their professionalism, which was also mirrored in the employer surveys.</w:t>
      </w:r>
    </w:p>
    <w:p w14:paraId="7FD20FC1" w14:textId="7F32DB52" w:rsidR="00DC5191" w:rsidRPr="00F17181" w:rsidRDefault="006A4200" w:rsidP="00DC5191">
      <w:pPr>
        <w:rPr>
          <w:rFonts w:cs="Times New Roman"/>
          <w:szCs w:val="24"/>
        </w:rPr>
      </w:pPr>
      <w:r w:rsidRPr="006A4200">
        <w:rPr>
          <w:rFonts w:cs="Times New Roman"/>
          <w:szCs w:val="24"/>
          <w:u w:val="single"/>
        </w:rPr>
        <w:t>Impact on teacher candidates</w:t>
      </w:r>
      <w:r>
        <w:rPr>
          <w:rFonts w:cs="Times New Roman"/>
          <w:szCs w:val="24"/>
        </w:rPr>
        <w:t xml:space="preserve">: </w:t>
      </w:r>
      <w:r w:rsidR="00DC5191" w:rsidRPr="00F17181">
        <w:rPr>
          <w:rFonts w:cs="Times New Roman"/>
          <w:szCs w:val="24"/>
        </w:rPr>
        <w:t xml:space="preserve">The teacher candidates, who worked as research assistants, commented on the value of seeing the implementation of their theoretical learning. Both candidates commented feeling overwhelmed by the layers of consideration that went into lesson planning and implementation and also the pressures of teaching while being watched. Still, they both felt more prepared for their clinical and student teaching experiences. As these two </w:t>
      </w:r>
      <w:r w:rsidR="00885455">
        <w:rPr>
          <w:rFonts w:cs="Times New Roman"/>
          <w:szCs w:val="24"/>
        </w:rPr>
        <w:t xml:space="preserve">teacher </w:t>
      </w:r>
      <w:r w:rsidR="00DC5191" w:rsidRPr="00F17181">
        <w:rPr>
          <w:rFonts w:cs="Times New Roman"/>
          <w:szCs w:val="24"/>
        </w:rPr>
        <w:t>candidates complete their program,</w:t>
      </w:r>
      <w:r w:rsidR="00885455">
        <w:rPr>
          <w:rFonts w:cs="Times New Roman"/>
          <w:szCs w:val="24"/>
        </w:rPr>
        <w:t xml:space="preserve"> we plan to compare</w:t>
      </w:r>
      <w:r w:rsidR="00DC5191" w:rsidRPr="00F17181">
        <w:rPr>
          <w:rFonts w:cs="Times New Roman"/>
          <w:szCs w:val="24"/>
        </w:rPr>
        <w:t xml:space="preserve"> their student teaching evaluations with non-research assistants to discern any variation</w:t>
      </w:r>
      <w:r w:rsidR="00885455">
        <w:rPr>
          <w:rFonts w:cs="Times New Roman"/>
          <w:szCs w:val="24"/>
        </w:rPr>
        <w:t>, indicative of the effect of their role as research assistants</w:t>
      </w:r>
      <w:r w:rsidR="00DC5191" w:rsidRPr="00F17181">
        <w:rPr>
          <w:rFonts w:cs="Times New Roman"/>
          <w:szCs w:val="24"/>
        </w:rPr>
        <w:t>.</w:t>
      </w:r>
    </w:p>
    <w:p w14:paraId="5A9015EC" w14:textId="088377BC" w:rsidR="00ED75CA" w:rsidRPr="00ED75CA" w:rsidRDefault="00ED75CA" w:rsidP="00ED75CA">
      <w:pPr>
        <w:jc w:val="center"/>
        <w:rPr>
          <w:rFonts w:cs="Times New Roman"/>
          <w:szCs w:val="24"/>
        </w:rPr>
      </w:pPr>
      <w:r w:rsidRPr="00ED75CA">
        <w:rPr>
          <w:rFonts w:cs="Times New Roman"/>
          <w:szCs w:val="24"/>
        </w:rPr>
        <w:t>Scholarly Significance</w:t>
      </w:r>
    </w:p>
    <w:p w14:paraId="4A347679" w14:textId="4281A930" w:rsidR="00DC5191" w:rsidRPr="00F17181" w:rsidRDefault="00DC5191" w:rsidP="002C5BE3">
      <w:pPr>
        <w:rPr>
          <w:rFonts w:cs="Times New Roman"/>
          <w:szCs w:val="24"/>
        </w:rPr>
      </w:pPr>
      <w:r w:rsidRPr="00F17181">
        <w:rPr>
          <w:rFonts w:cs="Times New Roman"/>
          <w:szCs w:val="24"/>
        </w:rPr>
        <w:t xml:space="preserve">First and foremost, conducting the study validated the feasibility of using research as a measure of program effectiveness. It allowed for input directly from our completers and enabled us to determine the extent to which our CLOs </w:t>
      </w:r>
      <w:r w:rsidR="006A4200">
        <w:rPr>
          <w:rFonts w:cs="Times New Roman"/>
          <w:szCs w:val="24"/>
        </w:rPr>
        <w:t>were</w:t>
      </w:r>
      <w:r w:rsidRPr="00F17181">
        <w:rPr>
          <w:rFonts w:cs="Times New Roman"/>
          <w:szCs w:val="24"/>
        </w:rPr>
        <w:t xml:space="preserve"> implemented in the P-12 classrooms. Second, it surfaced for us key areas for improvement, including </w:t>
      </w:r>
      <w:r w:rsidR="006A4200">
        <w:rPr>
          <w:rFonts w:cs="Times New Roman"/>
          <w:szCs w:val="24"/>
        </w:rPr>
        <w:t>the need for</w:t>
      </w:r>
      <w:r w:rsidRPr="00F17181">
        <w:rPr>
          <w:rFonts w:cs="Times New Roman"/>
          <w:szCs w:val="24"/>
        </w:rPr>
        <w:t xml:space="preserve"> explicit emphasis on Data Literacy. Interestingly, Professional Practice was acknowledged by the completers, the employers and even by the research assistant teacher candidates as areas of strengths. Our subtle infusion of this domain across the courses and clinical experiences has clearly been effective. Third, involving teacher candidates in research enhanced their scholarship by helping them realize the value of active research. It called for rigor in observations and rigor in data analysis, both of which were helpful to emphasize </w:t>
      </w:r>
      <w:r w:rsidR="006A4200">
        <w:rPr>
          <w:rFonts w:cs="Times New Roman"/>
          <w:szCs w:val="24"/>
        </w:rPr>
        <w:t xml:space="preserve">that </w:t>
      </w:r>
      <w:r w:rsidRPr="00F17181">
        <w:rPr>
          <w:rFonts w:cs="Times New Roman"/>
          <w:szCs w:val="24"/>
        </w:rPr>
        <w:t xml:space="preserve">assessment </w:t>
      </w:r>
      <w:r w:rsidR="006A4200">
        <w:rPr>
          <w:rFonts w:cs="Times New Roman"/>
          <w:szCs w:val="24"/>
        </w:rPr>
        <w:t>is</w:t>
      </w:r>
      <w:r w:rsidRPr="00F17181">
        <w:rPr>
          <w:rFonts w:cs="Times New Roman"/>
          <w:szCs w:val="24"/>
        </w:rPr>
        <w:t xml:space="preserve"> </w:t>
      </w:r>
      <w:r w:rsidR="006A4200">
        <w:rPr>
          <w:rFonts w:cs="Times New Roman"/>
          <w:szCs w:val="24"/>
        </w:rPr>
        <w:t>ever</w:t>
      </w:r>
      <w:r w:rsidRPr="00F17181">
        <w:rPr>
          <w:rFonts w:cs="Times New Roman"/>
          <w:szCs w:val="24"/>
        </w:rPr>
        <w:t xml:space="preserve"> present in any instructional preparation. As we conclude this research, we are also looking to conducting a more extensive study in the next year where we tap in</w:t>
      </w:r>
      <w:r w:rsidR="00F95FE1">
        <w:rPr>
          <w:rFonts w:cs="Times New Roman"/>
          <w:szCs w:val="24"/>
        </w:rPr>
        <w:t>to a larger pool of completers.</w:t>
      </w:r>
    </w:p>
    <w:p w14:paraId="36944104" w14:textId="51FF121F" w:rsidR="00DC5191" w:rsidRPr="00F17181" w:rsidRDefault="00512245" w:rsidP="002C5BE3">
      <w:pPr>
        <w:rPr>
          <w:rFonts w:cs="Times New Roman"/>
          <w:szCs w:val="24"/>
        </w:rPr>
      </w:pPr>
      <w:r w:rsidRPr="00F17181">
        <w:rPr>
          <w:rFonts w:cs="Times New Roman"/>
          <w:szCs w:val="24"/>
        </w:rPr>
        <w:t xml:space="preserve">Our research </w:t>
      </w:r>
      <w:r>
        <w:rPr>
          <w:rFonts w:cs="Times New Roman"/>
          <w:szCs w:val="24"/>
        </w:rPr>
        <w:t xml:space="preserve">goal was </w:t>
      </w:r>
      <w:r w:rsidRPr="00F17181">
        <w:rPr>
          <w:rFonts w:cs="Times New Roman"/>
          <w:szCs w:val="24"/>
        </w:rPr>
        <w:t xml:space="preserve">to determine the impact of our program </w:t>
      </w:r>
      <w:r>
        <w:rPr>
          <w:rFonts w:cs="Times New Roman"/>
          <w:szCs w:val="24"/>
        </w:rPr>
        <w:t xml:space="preserve">but the methodology allowed diverse voices to be heard and acknowledged. First and foremost, it </w:t>
      </w:r>
      <w:r w:rsidRPr="00F17181">
        <w:rPr>
          <w:rFonts w:cs="Times New Roman"/>
          <w:szCs w:val="24"/>
        </w:rPr>
        <w:t xml:space="preserve">included the perspectives of the two teacher candidates who worked as the research assistants. These candidates are of diverse backgrounds and by engaging in the study as both interviewers and as participant observers in the classroom, they brought their unique perspectives into the discussion.  </w:t>
      </w:r>
      <w:r>
        <w:rPr>
          <w:rFonts w:cs="Times New Roman"/>
          <w:szCs w:val="24"/>
        </w:rPr>
        <w:t>Secon</w:t>
      </w:r>
      <w:r w:rsidR="00E832C0">
        <w:rPr>
          <w:rFonts w:cs="Times New Roman"/>
          <w:szCs w:val="24"/>
        </w:rPr>
        <w:t>d, the completers had the opportunity through the two-step interview process to direct the conversation on their own effectiveness. They were able to demonstrate what helped formulate their thinking but also provide directions for program revisions. Finally, for the teacher educators who served as mentors in the study and for the entire EPP, this research project transformed existing practices by democratizing program development.</w:t>
      </w:r>
    </w:p>
    <w:p w14:paraId="055F672F" w14:textId="40CE54CA" w:rsidR="00DC5191" w:rsidRPr="00F17181" w:rsidRDefault="00662665" w:rsidP="002C5BE3">
      <w:pPr>
        <w:rPr>
          <w:rFonts w:cs="Times New Roman"/>
          <w:szCs w:val="24"/>
        </w:rPr>
      </w:pPr>
      <w:r>
        <w:rPr>
          <w:rFonts w:cs="Times New Roman"/>
          <w:szCs w:val="24"/>
        </w:rPr>
        <w:t>The implications for action of our study are manifold and we highlight two herein</w:t>
      </w:r>
      <w:r w:rsidR="00DC5191" w:rsidRPr="00F17181">
        <w:rPr>
          <w:rFonts w:cs="Times New Roman"/>
          <w:szCs w:val="24"/>
        </w:rPr>
        <w:t xml:space="preserve">. First, it offers a feasible and scholarly model for </w:t>
      </w:r>
      <w:r w:rsidR="007D5234">
        <w:rPr>
          <w:rFonts w:cs="Times New Roman"/>
          <w:szCs w:val="24"/>
        </w:rPr>
        <w:t xml:space="preserve">self- </w:t>
      </w:r>
      <w:r w:rsidR="00DC5191" w:rsidRPr="00F17181">
        <w:rPr>
          <w:rFonts w:cs="Times New Roman"/>
          <w:szCs w:val="24"/>
        </w:rPr>
        <w:t>studying program impact. It offers other EPPs an innovative way to study their own effectiveness. Second, it underscores the value of research in teacher preparation. Engaging in the research study significantly enhanced the two teacher candidates’ abilities to view the classroom holistically, to reflect on their own teaching and to understand the value of continual improvement. Having all teacher candidates engage in active research is a worthy pursuit.</w:t>
      </w:r>
    </w:p>
    <w:p w14:paraId="420B0131" w14:textId="3A3D0E9C" w:rsidR="00146119" w:rsidRPr="00F17181" w:rsidRDefault="002812AE" w:rsidP="0026127E">
      <w:pPr>
        <w:jc w:val="center"/>
        <w:rPr>
          <w:rFonts w:cs="Times New Roman"/>
          <w:szCs w:val="24"/>
        </w:rPr>
      </w:pPr>
      <w:r w:rsidRPr="00F17181">
        <w:rPr>
          <w:rFonts w:cs="Times New Roman"/>
          <w:szCs w:val="24"/>
        </w:rPr>
        <w:t>References</w:t>
      </w:r>
    </w:p>
    <w:p w14:paraId="598A0602" w14:textId="77777777" w:rsidR="006A1070" w:rsidRPr="006A1070" w:rsidRDefault="00F95FE1" w:rsidP="006A1070">
      <w:pPr>
        <w:pStyle w:val="EndNoteBibliography"/>
        <w:spacing w:after="0"/>
        <w:ind w:left="720" w:hanging="720"/>
        <w:rPr>
          <w:noProof/>
        </w:rPr>
      </w:pPr>
      <w:r>
        <w:rPr>
          <w:szCs w:val="24"/>
        </w:rPr>
        <w:lastRenderedPageBreak/>
        <w:fldChar w:fldCharType="begin"/>
      </w:r>
      <w:r>
        <w:rPr>
          <w:szCs w:val="24"/>
        </w:rPr>
        <w:instrText xml:space="preserve"> ADDIN EN.REFLIST </w:instrText>
      </w:r>
      <w:r>
        <w:rPr>
          <w:szCs w:val="24"/>
        </w:rPr>
        <w:fldChar w:fldCharType="separate"/>
      </w:r>
      <w:r w:rsidR="006A1070" w:rsidRPr="006A1070">
        <w:rPr>
          <w:noProof/>
        </w:rPr>
        <w:t xml:space="preserve">Bavonese, J. L., Connor, C., Valerie, W., Beard, L., &amp; O’wens, L. A. (2017). Collaboration opportunities within university teacher education programs. </w:t>
      </w:r>
      <w:r w:rsidR="006A1070" w:rsidRPr="006A1070">
        <w:rPr>
          <w:i/>
          <w:noProof/>
        </w:rPr>
        <w:t>Journal of education &amp; Social Policy, 4</w:t>
      </w:r>
      <w:r w:rsidR="006A1070" w:rsidRPr="006A1070">
        <w:rPr>
          <w:noProof/>
        </w:rPr>
        <w:t xml:space="preserve">(2), 72-79. </w:t>
      </w:r>
    </w:p>
    <w:p w14:paraId="5F978570" w14:textId="77777777" w:rsidR="006A1070" w:rsidRPr="006A1070" w:rsidRDefault="006A1070" w:rsidP="006A1070">
      <w:pPr>
        <w:pStyle w:val="EndNoteBibliography"/>
        <w:spacing w:after="0"/>
        <w:ind w:left="720" w:hanging="720"/>
        <w:rPr>
          <w:noProof/>
        </w:rPr>
      </w:pPr>
      <w:r w:rsidRPr="006A1070">
        <w:rPr>
          <w:noProof/>
        </w:rPr>
        <w:t xml:space="preserve">Diez, M. E. (2010). It Is Complicated: Unpacking the Flow of Teacher Education’s Impact on Student Learning. </w:t>
      </w:r>
      <w:r w:rsidRPr="006A1070">
        <w:rPr>
          <w:i/>
          <w:noProof/>
        </w:rPr>
        <w:t>Journal of Teacher Education, 61</w:t>
      </w:r>
      <w:r w:rsidRPr="006A1070">
        <w:rPr>
          <w:noProof/>
        </w:rPr>
        <w:t xml:space="preserve">(5), 441-450. </w:t>
      </w:r>
    </w:p>
    <w:p w14:paraId="238B945A" w14:textId="77777777" w:rsidR="006A1070" w:rsidRPr="006A1070" w:rsidRDefault="006A1070" w:rsidP="006A1070">
      <w:pPr>
        <w:pStyle w:val="EndNoteBibliography"/>
        <w:spacing w:after="0"/>
        <w:ind w:left="720" w:hanging="720"/>
        <w:rPr>
          <w:noProof/>
        </w:rPr>
      </w:pPr>
      <w:r w:rsidRPr="006A1070">
        <w:rPr>
          <w:noProof/>
        </w:rPr>
        <w:t xml:space="preserve">Heafner, T., McIntyre, E., &amp; Spooner, M. (2014). The CAEP standards and research on educator preparation programs: Linking clinical partnerships with program impact. </w:t>
      </w:r>
      <w:r w:rsidRPr="006A1070">
        <w:rPr>
          <w:i/>
          <w:noProof/>
        </w:rPr>
        <w:t>Peabody Journal of Education, 89</w:t>
      </w:r>
      <w:r w:rsidRPr="006A1070">
        <w:rPr>
          <w:noProof/>
        </w:rPr>
        <w:t xml:space="preserve">(4), 516-532. </w:t>
      </w:r>
    </w:p>
    <w:p w14:paraId="3D156E28" w14:textId="77777777" w:rsidR="006A1070" w:rsidRPr="006A1070" w:rsidRDefault="006A1070" w:rsidP="006A1070">
      <w:pPr>
        <w:pStyle w:val="EndNoteBibliography"/>
        <w:spacing w:after="0"/>
        <w:ind w:left="720" w:hanging="720"/>
        <w:rPr>
          <w:noProof/>
        </w:rPr>
      </w:pPr>
      <w:r w:rsidRPr="006A1070">
        <w:rPr>
          <w:noProof/>
        </w:rPr>
        <w:t xml:space="preserve">Nuttall, J. (2016). The impact of teacher education on teacher attitudes. </w:t>
      </w:r>
      <w:r w:rsidRPr="006A1070">
        <w:rPr>
          <w:i/>
          <w:noProof/>
        </w:rPr>
        <w:t>Asia-Pacific Journal of Teacher Education, 44</w:t>
      </w:r>
      <w:r w:rsidRPr="006A1070">
        <w:rPr>
          <w:noProof/>
        </w:rPr>
        <w:t xml:space="preserve">(2), 107-109. </w:t>
      </w:r>
    </w:p>
    <w:p w14:paraId="3CFC6CDF" w14:textId="77777777" w:rsidR="006A1070" w:rsidRPr="006A1070" w:rsidRDefault="006A1070" w:rsidP="006A1070">
      <w:pPr>
        <w:pStyle w:val="EndNoteBibliography"/>
        <w:spacing w:after="0"/>
        <w:ind w:left="720" w:hanging="720"/>
        <w:rPr>
          <w:noProof/>
        </w:rPr>
      </w:pPr>
      <w:r w:rsidRPr="006A1070">
        <w:rPr>
          <w:noProof/>
        </w:rPr>
        <w:t xml:space="preserve">Thomas, C. N. (2014). Considering the Impact of Preservice Teacher Beliefs on Future Practice. </w:t>
      </w:r>
      <w:r w:rsidRPr="006A1070">
        <w:rPr>
          <w:i/>
          <w:noProof/>
        </w:rPr>
        <w:t>Intervention in School and Clinic, 49</w:t>
      </w:r>
      <w:r w:rsidRPr="006A1070">
        <w:rPr>
          <w:noProof/>
        </w:rPr>
        <w:t xml:space="preserve">(4), 230-236. </w:t>
      </w:r>
    </w:p>
    <w:p w14:paraId="57F8C276" w14:textId="77777777" w:rsidR="006A1070" w:rsidRPr="006A1070" w:rsidRDefault="006A1070" w:rsidP="006A1070">
      <w:pPr>
        <w:pStyle w:val="EndNoteBibliography"/>
        <w:spacing w:after="0"/>
        <w:ind w:left="720" w:hanging="720"/>
        <w:rPr>
          <w:noProof/>
        </w:rPr>
      </w:pPr>
      <w:r w:rsidRPr="006A1070">
        <w:rPr>
          <w:noProof/>
        </w:rPr>
        <w:t xml:space="preserve">Yeh, C., &amp; Santagata, R. (2015). Preservice Teachers’ Learning to Generate Evidence-Based Hypotheses About the Impact of Mathematics Teaching on Learning. </w:t>
      </w:r>
      <w:r w:rsidRPr="006A1070">
        <w:rPr>
          <w:i/>
          <w:noProof/>
        </w:rPr>
        <w:t>Journal of Teacher Education, 66</w:t>
      </w:r>
      <w:r w:rsidRPr="006A1070">
        <w:rPr>
          <w:noProof/>
        </w:rPr>
        <w:t xml:space="preserve">(1), 21-34. </w:t>
      </w:r>
    </w:p>
    <w:p w14:paraId="76191E7D" w14:textId="77777777" w:rsidR="006A1070" w:rsidRPr="006A1070" w:rsidRDefault="006A1070" w:rsidP="006A1070">
      <w:pPr>
        <w:pStyle w:val="EndNoteBibliography"/>
        <w:ind w:left="720" w:hanging="720"/>
        <w:rPr>
          <w:noProof/>
        </w:rPr>
      </w:pPr>
      <w:r w:rsidRPr="006A1070">
        <w:rPr>
          <w:noProof/>
        </w:rPr>
        <w:t xml:space="preserve">Zeichner, K., Payne, K. A., &amp; Brayko, K. (2015). Democratizing Teacher Education. </w:t>
      </w:r>
      <w:r w:rsidRPr="006A1070">
        <w:rPr>
          <w:i/>
          <w:noProof/>
        </w:rPr>
        <w:t>Journal of Teacher Education, 66</w:t>
      </w:r>
      <w:r w:rsidRPr="006A1070">
        <w:rPr>
          <w:noProof/>
        </w:rPr>
        <w:t xml:space="preserve">(2), 122-135. </w:t>
      </w:r>
    </w:p>
    <w:p w14:paraId="4071D6D3" w14:textId="7D490A32" w:rsidR="004C4210" w:rsidRPr="00F17181" w:rsidRDefault="00F95FE1" w:rsidP="002D6947">
      <w:pPr>
        <w:spacing w:before="120" w:after="120"/>
        <w:rPr>
          <w:rFonts w:cs="Times New Roman"/>
          <w:szCs w:val="24"/>
        </w:rPr>
      </w:pPr>
      <w:r>
        <w:rPr>
          <w:rFonts w:cs="Times New Roman"/>
          <w:szCs w:val="24"/>
        </w:rPr>
        <w:fldChar w:fldCharType="end"/>
      </w:r>
    </w:p>
    <w:sectPr w:rsidR="004C4210" w:rsidRPr="00F17181" w:rsidSect="00FD2A5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9EDB0" w14:textId="77777777" w:rsidR="00953C89" w:rsidRDefault="00953C89" w:rsidP="00442D48">
      <w:pPr>
        <w:spacing w:after="0"/>
      </w:pPr>
      <w:r>
        <w:separator/>
      </w:r>
    </w:p>
  </w:endnote>
  <w:endnote w:type="continuationSeparator" w:id="0">
    <w:p w14:paraId="0CD6BAD5" w14:textId="77777777" w:rsidR="00953C89" w:rsidRDefault="00953C89" w:rsidP="00442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40FF" w14:textId="77777777" w:rsidR="006A4200" w:rsidRDefault="006A4200" w:rsidP="00221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6615F" w14:textId="77777777" w:rsidR="006A4200" w:rsidRDefault="006A4200" w:rsidP="00221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6AAE" w14:textId="77777777" w:rsidR="006A4200" w:rsidRDefault="006A4200" w:rsidP="00221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EFD">
      <w:rPr>
        <w:rStyle w:val="PageNumber"/>
        <w:noProof/>
      </w:rPr>
      <w:t>1</w:t>
    </w:r>
    <w:r>
      <w:rPr>
        <w:rStyle w:val="PageNumber"/>
      </w:rPr>
      <w:fldChar w:fldCharType="end"/>
    </w:r>
  </w:p>
  <w:p w14:paraId="21E41954" w14:textId="77777777" w:rsidR="006A4200" w:rsidRDefault="006A4200" w:rsidP="002214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B3199" w14:textId="77777777" w:rsidR="00953C89" w:rsidRDefault="00953C89" w:rsidP="00442D48">
      <w:pPr>
        <w:spacing w:after="0"/>
      </w:pPr>
      <w:r>
        <w:separator/>
      </w:r>
    </w:p>
  </w:footnote>
  <w:footnote w:type="continuationSeparator" w:id="0">
    <w:p w14:paraId="3E9FFBCC" w14:textId="77777777" w:rsidR="00953C89" w:rsidRDefault="00953C89" w:rsidP="00442D4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rdwsv5drss28evwaav22d099pdwfsrev02&quot;&gt;Sudha&amp;apos;s library&lt;record-ids&gt;&lt;item&gt;3908&lt;/item&gt;&lt;item&gt;3909&lt;/item&gt;&lt;item&gt;3911&lt;/item&gt;&lt;item&gt;3912&lt;/item&gt;&lt;item&gt;3913&lt;/item&gt;&lt;item&gt;3914&lt;/item&gt;&lt;item&gt;3915&lt;/item&gt;&lt;/record-ids&gt;&lt;/item&gt;&lt;/Libraries&gt;"/>
  </w:docVars>
  <w:rsids>
    <w:rsidRoot w:val="00E31C34"/>
    <w:rsid w:val="00000824"/>
    <w:rsid w:val="0000409E"/>
    <w:rsid w:val="00004EFD"/>
    <w:rsid w:val="00006131"/>
    <w:rsid w:val="0002619B"/>
    <w:rsid w:val="00031473"/>
    <w:rsid w:val="0006023A"/>
    <w:rsid w:val="00075B3B"/>
    <w:rsid w:val="000C58EC"/>
    <w:rsid w:val="000C6761"/>
    <w:rsid w:val="000C7824"/>
    <w:rsid w:val="000D56C9"/>
    <w:rsid w:val="000F4F72"/>
    <w:rsid w:val="001037AF"/>
    <w:rsid w:val="001072FC"/>
    <w:rsid w:val="00126AD2"/>
    <w:rsid w:val="00142537"/>
    <w:rsid w:val="001454C8"/>
    <w:rsid w:val="00146119"/>
    <w:rsid w:val="00151294"/>
    <w:rsid w:val="00171F95"/>
    <w:rsid w:val="0017580B"/>
    <w:rsid w:val="00176C43"/>
    <w:rsid w:val="00190311"/>
    <w:rsid w:val="001938E6"/>
    <w:rsid w:val="001A75A4"/>
    <w:rsid w:val="0020186E"/>
    <w:rsid w:val="00202C92"/>
    <w:rsid w:val="00221477"/>
    <w:rsid w:val="002239E2"/>
    <w:rsid w:val="0022712E"/>
    <w:rsid w:val="0026127E"/>
    <w:rsid w:val="002812AE"/>
    <w:rsid w:val="00282D7D"/>
    <w:rsid w:val="00297BAB"/>
    <w:rsid w:val="002B0D70"/>
    <w:rsid w:val="002B425E"/>
    <w:rsid w:val="002C577C"/>
    <w:rsid w:val="002C5BE3"/>
    <w:rsid w:val="002D6947"/>
    <w:rsid w:val="002D696F"/>
    <w:rsid w:val="002E48AD"/>
    <w:rsid w:val="002F3D33"/>
    <w:rsid w:val="00312DBD"/>
    <w:rsid w:val="00314C2A"/>
    <w:rsid w:val="00324B39"/>
    <w:rsid w:val="00340C26"/>
    <w:rsid w:val="00360E1F"/>
    <w:rsid w:val="00377074"/>
    <w:rsid w:val="0039207C"/>
    <w:rsid w:val="003B1AA7"/>
    <w:rsid w:val="003D545C"/>
    <w:rsid w:val="003E3774"/>
    <w:rsid w:val="003E69A4"/>
    <w:rsid w:val="003F471F"/>
    <w:rsid w:val="00411B7D"/>
    <w:rsid w:val="0041549D"/>
    <w:rsid w:val="00432DC9"/>
    <w:rsid w:val="00442D48"/>
    <w:rsid w:val="0044749B"/>
    <w:rsid w:val="0047404B"/>
    <w:rsid w:val="004C4210"/>
    <w:rsid w:val="004E7118"/>
    <w:rsid w:val="00512245"/>
    <w:rsid w:val="005222F3"/>
    <w:rsid w:val="00532CC2"/>
    <w:rsid w:val="005419A1"/>
    <w:rsid w:val="005469F7"/>
    <w:rsid w:val="005470E5"/>
    <w:rsid w:val="00550CA3"/>
    <w:rsid w:val="00555CFD"/>
    <w:rsid w:val="0055708E"/>
    <w:rsid w:val="005849A8"/>
    <w:rsid w:val="00585506"/>
    <w:rsid w:val="005B40C0"/>
    <w:rsid w:val="005B716A"/>
    <w:rsid w:val="005C0611"/>
    <w:rsid w:val="005C6510"/>
    <w:rsid w:val="005D245F"/>
    <w:rsid w:val="005D46C5"/>
    <w:rsid w:val="005D6C98"/>
    <w:rsid w:val="005F39FA"/>
    <w:rsid w:val="0061105E"/>
    <w:rsid w:val="00611C03"/>
    <w:rsid w:val="0062696C"/>
    <w:rsid w:val="0063573B"/>
    <w:rsid w:val="00646724"/>
    <w:rsid w:val="00654A90"/>
    <w:rsid w:val="00662665"/>
    <w:rsid w:val="006646B6"/>
    <w:rsid w:val="0067045B"/>
    <w:rsid w:val="00683EAF"/>
    <w:rsid w:val="00687E0C"/>
    <w:rsid w:val="006A1070"/>
    <w:rsid w:val="006A2AFD"/>
    <w:rsid w:val="006A4200"/>
    <w:rsid w:val="006D182E"/>
    <w:rsid w:val="006D798C"/>
    <w:rsid w:val="006E1CAC"/>
    <w:rsid w:val="00711643"/>
    <w:rsid w:val="00713AD5"/>
    <w:rsid w:val="0073104A"/>
    <w:rsid w:val="00731CB4"/>
    <w:rsid w:val="0073504F"/>
    <w:rsid w:val="00766FC4"/>
    <w:rsid w:val="007B1487"/>
    <w:rsid w:val="007B1652"/>
    <w:rsid w:val="007C6752"/>
    <w:rsid w:val="007D2B0E"/>
    <w:rsid w:val="007D4109"/>
    <w:rsid w:val="007D5234"/>
    <w:rsid w:val="007D7559"/>
    <w:rsid w:val="007E7358"/>
    <w:rsid w:val="007F54E6"/>
    <w:rsid w:val="0081178F"/>
    <w:rsid w:val="00812101"/>
    <w:rsid w:val="008314E3"/>
    <w:rsid w:val="00866D6F"/>
    <w:rsid w:val="00874751"/>
    <w:rsid w:val="00885455"/>
    <w:rsid w:val="008D54E3"/>
    <w:rsid w:val="00900332"/>
    <w:rsid w:val="00902564"/>
    <w:rsid w:val="00917E8C"/>
    <w:rsid w:val="009308A0"/>
    <w:rsid w:val="009353AC"/>
    <w:rsid w:val="00947BE1"/>
    <w:rsid w:val="00953C89"/>
    <w:rsid w:val="009545BC"/>
    <w:rsid w:val="00955097"/>
    <w:rsid w:val="00983676"/>
    <w:rsid w:val="00992D4C"/>
    <w:rsid w:val="009A29E3"/>
    <w:rsid w:val="009C4B13"/>
    <w:rsid w:val="009C6608"/>
    <w:rsid w:val="009D041F"/>
    <w:rsid w:val="009D08C4"/>
    <w:rsid w:val="009D3FFB"/>
    <w:rsid w:val="009E6C2D"/>
    <w:rsid w:val="00A12E2C"/>
    <w:rsid w:val="00A34A67"/>
    <w:rsid w:val="00A6695F"/>
    <w:rsid w:val="00A672A2"/>
    <w:rsid w:val="00A76809"/>
    <w:rsid w:val="00A852CC"/>
    <w:rsid w:val="00A91B16"/>
    <w:rsid w:val="00AA0816"/>
    <w:rsid w:val="00AA7755"/>
    <w:rsid w:val="00AA7F56"/>
    <w:rsid w:val="00AD06E1"/>
    <w:rsid w:val="00AD2A51"/>
    <w:rsid w:val="00AE09CA"/>
    <w:rsid w:val="00AF0CA8"/>
    <w:rsid w:val="00AF7622"/>
    <w:rsid w:val="00B32EBF"/>
    <w:rsid w:val="00B3633D"/>
    <w:rsid w:val="00B45A01"/>
    <w:rsid w:val="00B53B58"/>
    <w:rsid w:val="00B5678E"/>
    <w:rsid w:val="00B57C2F"/>
    <w:rsid w:val="00B7108B"/>
    <w:rsid w:val="00B87AA8"/>
    <w:rsid w:val="00BA2D42"/>
    <w:rsid w:val="00BD0BD1"/>
    <w:rsid w:val="00BE0D1F"/>
    <w:rsid w:val="00BE147E"/>
    <w:rsid w:val="00C21F0F"/>
    <w:rsid w:val="00C27154"/>
    <w:rsid w:val="00C31B75"/>
    <w:rsid w:val="00C3523D"/>
    <w:rsid w:val="00C74736"/>
    <w:rsid w:val="00C86CB7"/>
    <w:rsid w:val="00CA1866"/>
    <w:rsid w:val="00CA6C5D"/>
    <w:rsid w:val="00CB6808"/>
    <w:rsid w:val="00CC4876"/>
    <w:rsid w:val="00CD2609"/>
    <w:rsid w:val="00CE168D"/>
    <w:rsid w:val="00D0164A"/>
    <w:rsid w:val="00D51B46"/>
    <w:rsid w:val="00D537BB"/>
    <w:rsid w:val="00D55257"/>
    <w:rsid w:val="00D61A16"/>
    <w:rsid w:val="00D81733"/>
    <w:rsid w:val="00D875B4"/>
    <w:rsid w:val="00DB0E34"/>
    <w:rsid w:val="00DB4406"/>
    <w:rsid w:val="00DC1BB6"/>
    <w:rsid w:val="00DC5191"/>
    <w:rsid w:val="00DC5A5E"/>
    <w:rsid w:val="00DC617E"/>
    <w:rsid w:val="00DF1C34"/>
    <w:rsid w:val="00E05911"/>
    <w:rsid w:val="00E06F96"/>
    <w:rsid w:val="00E1044D"/>
    <w:rsid w:val="00E15C3F"/>
    <w:rsid w:val="00E20EB0"/>
    <w:rsid w:val="00E31C34"/>
    <w:rsid w:val="00E40CC1"/>
    <w:rsid w:val="00E832C0"/>
    <w:rsid w:val="00E93A03"/>
    <w:rsid w:val="00EA2F2F"/>
    <w:rsid w:val="00EA4230"/>
    <w:rsid w:val="00EB2290"/>
    <w:rsid w:val="00EB2A89"/>
    <w:rsid w:val="00EC037C"/>
    <w:rsid w:val="00ED75CA"/>
    <w:rsid w:val="00EE6C1D"/>
    <w:rsid w:val="00EF70C8"/>
    <w:rsid w:val="00F17181"/>
    <w:rsid w:val="00F3135A"/>
    <w:rsid w:val="00F31DBB"/>
    <w:rsid w:val="00F46295"/>
    <w:rsid w:val="00F469A8"/>
    <w:rsid w:val="00F53BB8"/>
    <w:rsid w:val="00F625E4"/>
    <w:rsid w:val="00F657A2"/>
    <w:rsid w:val="00F72632"/>
    <w:rsid w:val="00F8037E"/>
    <w:rsid w:val="00F81120"/>
    <w:rsid w:val="00F864B1"/>
    <w:rsid w:val="00F919B3"/>
    <w:rsid w:val="00F95FE1"/>
    <w:rsid w:val="00FA1E77"/>
    <w:rsid w:val="00FA77D1"/>
    <w:rsid w:val="00FC1713"/>
    <w:rsid w:val="00FC49C5"/>
    <w:rsid w:val="00FC78C2"/>
    <w:rsid w:val="00FD01EA"/>
    <w:rsid w:val="00FD2A5A"/>
    <w:rsid w:val="00FF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C40F3"/>
  <w15:docId w15:val="{7CFE39C8-C213-ED4D-AC40-549FF577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F9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6CB7"/>
    <w:pPr>
      <w:widowControl w:val="0"/>
      <w:autoSpaceDE w:val="0"/>
      <w:autoSpaceDN w:val="0"/>
      <w:spacing w:after="0"/>
    </w:pPr>
    <w:rPr>
      <w:rFonts w:ascii="Verdana" w:eastAsia="Verdana" w:hAnsi="Verdana" w:cs="Verdana"/>
      <w:sz w:val="22"/>
    </w:rPr>
  </w:style>
  <w:style w:type="paragraph" w:styleId="Header">
    <w:name w:val="header"/>
    <w:basedOn w:val="Normal"/>
    <w:link w:val="HeaderChar"/>
    <w:uiPriority w:val="99"/>
    <w:unhideWhenUsed/>
    <w:rsid w:val="00442D48"/>
    <w:pPr>
      <w:tabs>
        <w:tab w:val="center" w:pos="4680"/>
        <w:tab w:val="right" w:pos="9360"/>
      </w:tabs>
      <w:spacing w:after="0"/>
    </w:pPr>
  </w:style>
  <w:style w:type="character" w:customStyle="1" w:styleId="HeaderChar">
    <w:name w:val="Header Char"/>
    <w:basedOn w:val="DefaultParagraphFont"/>
    <w:link w:val="Header"/>
    <w:uiPriority w:val="99"/>
    <w:rsid w:val="00442D48"/>
    <w:rPr>
      <w:rFonts w:ascii="Times New Roman" w:hAnsi="Times New Roman"/>
      <w:sz w:val="24"/>
    </w:rPr>
  </w:style>
  <w:style w:type="paragraph" w:styleId="Footer">
    <w:name w:val="footer"/>
    <w:basedOn w:val="Normal"/>
    <w:link w:val="FooterChar"/>
    <w:uiPriority w:val="99"/>
    <w:unhideWhenUsed/>
    <w:rsid w:val="00442D48"/>
    <w:pPr>
      <w:tabs>
        <w:tab w:val="center" w:pos="4680"/>
        <w:tab w:val="right" w:pos="9360"/>
      </w:tabs>
      <w:spacing w:after="0"/>
    </w:pPr>
  </w:style>
  <w:style w:type="character" w:customStyle="1" w:styleId="FooterChar">
    <w:name w:val="Footer Char"/>
    <w:basedOn w:val="DefaultParagraphFont"/>
    <w:link w:val="Footer"/>
    <w:uiPriority w:val="99"/>
    <w:rsid w:val="00442D48"/>
    <w:rPr>
      <w:rFonts w:ascii="Times New Roman" w:hAnsi="Times New Roman"/>
      <w:sz w:val="24"/>
    </w:rPr>
  </w:style>
  <w:style w:type="paragraph" w:styleId="NormalWeb">
    <w:name w:val="Normal (Web)"/>
    <w:basedOn w:val="Normal"/>
    <w:uiPriority w:val="99"/>
    <w:semiHidden/>
    <w:unhideWhenUsed/>
    <w:rsid w:val="002F3D3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119"/>
  </w:style>
  <w:style w:type="character" w:customStyle="1" w:styleId="authors">
    <w:name w:val="authors"/>
    <w:basedOn w:val="DefaultParagraphFont"/>
    <w:rsid w:val="00D51B46"/>
  </w:style>
  <w:style w:type="character" w:customStyle="1" w:styleId="date1">
    <w:name w:val="date1"/>
    <w:basedOn w:val="DefaultParagraphFont"/>
    <w:rsid w:val="00D51B46"/>
  </w:style>
  <w:style w:type="character" w:customStyle="1" w:styleId="arttitle">
    <w:name w:val="art_title"/>
    <w:basedOn w:val="DefaultParagraphFont"/>
    <w:rsid w:val="00D51B46"/>
  </w:style>
  <w:style w:type="character" w:customStyle="1" w:styleId="serialtitle">
    <w:name w:val="serial_title"/>
    <w:basedOn w:val="DefaultParagraphFont"/>
    <w:rsid w:val="00D51B46"/>
  </w:style>
  <w:style w:type="character" w:customStyle="1" w:styleId="volumeissue">
    <w:name w:val="volume_issue"/>
    <w:basedOn w:val="DefaultParagraphFont"/>
    <w:rsid w:val="00D51B46"/>
  </w:style>
  <w:style w:type="character" w:customStyle="1" w:styleId="pagerange">
    <w:name w:val="page_range"/>
    <w:basedOn w:val="DefaultParagraphFont"/>
    <w:rsid w:val="00D51B46"/>
  </w:style>
  <w:style w:type="character" w:customStyle="1" w:styleId="doilink">
    <w:name w:val="doi_link"/>
    <w:basedOn w:val="DefaultParagraphFont"/>
    <w:rsid w:val="00D51B46"/>
  </w:style>
  <w:style w:type="character" w:styleId="Hyperlink">
    <w:name w:val="Hyperlink"/>
    <w:basedOn w:val="DefaultParagraphFont"/>
    <w:uiPriority w:val="99"/>
    <w:semiHidden/>
    <w:unhideWhenUsed/>
    <w:rsid w:val="00D51B46"/>
    <w:rPr>
      <w:color w:val="0000FF"/>
      <w:u w:val="single"/>
    </w:rPr>
  </w:style>
  <w:style w:type="character" w:styleId="PageNumber">
    <w:name w:val="page number"/>
    <w:basedOn w:val="DefaultParagraphFont"/>
    <w:uiPriority w:val="99"/>
    <w:semiHidden/>
    <w:unhideWhenUsed/>
    <w:rsid w:val="00221477"/>
  </w:style>
  <w:style w:type="paragraph" w:customStyle="1" w:styleId="EndNoteBibliographyTitle">
    <w:name w:val="EndNote Bibliography Title"/>
    <w:basedOn w:val="Normal"/>
    <w:rsid w:val="00F95FE1"/>
    <w:pPr>
      <w:spacing w:after="0"/>
      <w:jc w:val="center"/>
    </w:pPr>
    <w:rPr>
      <w:rFonts w:cs="Times New Roman"/>
    </w:rPr>
  </w:style>
  <w:style w:type="paragraph" w:customStyle="1" w:styleId="EndNoteBibliography">
    <w:name w:val="EndNote Bibliography"/>
    <w:basedOn w:val="Normal"/>
    <w:rsid w:val="00F95F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9724">
      <w:bodyDiv w:val="1"/>
      <w:marLeft w:val="0"/>
      <w:marRight w:val="0"/>
      <w:marTop w:val="0"/>
      <w:marBottom w:val="0"/>
      <w:divBdr>
        <w:top w:val="none" w:sz="0" w:space="0" w:color="auto"/>
        <w:left w:val="none" w:sz="0" w:space="0" w:color="auto"/>
        <w:bottom w:val="none" w:sz="0" w:space="0" w:color="auto"/>
        <w:right w:val="none" w:sz="0" w:space="0" w:color="auto"/>
      </w:divBdr>
      <w:divsChild>
        <w:div w:id="1369336366">
          <w:marLeft w:val="0"/>
          <w:marRight w:val="0"/>
          <w:marTop w:val="0"/>
          <w:marBottom w:val="0"/>
          <w:divBdr>
            <w:top w:val="none" w:sz="0" w:space="0" w:color="auto"/>
            <w:left w:val="none" w:sz="0" w:space="0" w:color="auto"/>
            <w:bottom w:val="none" w:sz="0" w:space="0" w:color="auto"/>
            <w:right w:val="none" w:sz="0" w:space="0" w:color="auto"/>
          </w:divBdr>
        </w:div>
      </w:divsChild>
    </w:div>
    <w:div w:id="226846094">
      <w:bodyDiv w:val="1"/>
      <w:marLeft w:val="0"/>
      <w:marRight w:val="0"/>
      <w:marTop w:val="0"/>
      <w:marBottom w:val="0"/>
      <w:divBdr>
        <w:top w:val="none" w:sz="0" w:space="0" w:color="auto"/>
        <w:left w:val="none" w:sz="0" w:space="0" w:color="auto"/>
        <w:bottom w:val="none" w:sz="0" w:space="0" w:color="auto"/>
        <w:right w:val="none" w:sz="0" w:space="0" w:color="auto"/>
      </w:divBdr>
    </w:div>
    <w:div w:id="246041024">
      <w:bodyDiv w:val="1"/>
      <w:marLeft w:val="0"/>
      <w:marRight w:val="0"/>
      <w:marTop w:val="0"/>
      <w:marBottom w:val="0"/>
      <w:divBdr>
        <w:top w:val="none" w:sz="0" w:space="0" w:color="auto"/>
        <w:left w:val="none" w:sz="0" w:space="0" w:color="auto"/>
        <w:bottom w:val="none" w:sz="0" w:space="0" w:color="auto"/>
        <w:right w:val="none" w:sz="0" w:space="0" w:color="auto"/>
      </w:divBdr>
    </w:div>
    <w:div w:id="293295466">
      <w:bodyDiv w:val="1"/>
      <w:marLeft w:val="0"/>
      <w:marRight w:val="0"/>
      <w:marTop w:val="0"/>
      <w:marBottom w:val="0"/>
      <w:divBdr>
        <w:top w:val="none" w:sz="0" w:space="0" w:color="auto"/>
        <w:left w:val="none" w:sz="0" w:space="0" w:color="auto"/>
        <w:bottom w:val="none" w:sz="0" w:space="0" w:color="auto"/>
        <w:right w:val="none" w:sz="0" w:space="0" w:color="auto"/>
      </w:divBdr>
    </w:div>
    <w:div w:id="327253975">
      <w:bodyDiv w:val="1"/>
      <w:marLeft w:val="0"/>
      <w:marRight w:val="0"/>
      <w:marTop w:val="0"/>
      <w:marBottom w:val="0"/>
      <w:divBdr>
        <w:top w:val="none" w:sz="0" w:space="0" w:color="auto"/>
        <w:left w:val="none" w:sz="0" w:space="0" w:color="auto"/>
        <w:bottom w:val="none" w:sz="0" w:space="0" w:color="auto"/>
        <w:right w:val="none" w:sz="0" w:space="0" w:color="auto"/>
      </w:divBdr>
    </w:div>
    <w:div w:id="336730896">
      <w:bodyDiv w:val="1"/>
      <w:marLeft w:val="0"/>
      <w:marRight w:val="0"/>
      <w:marTop w:val="0"/>
      <w:marBottom w:val="0"/>
      <w:divBdr>
        <w:top w:val="none" w:sz="0" w:space="0" w:color="auto"/>
        <w:left w:val="none" w:sz="0" w:space="0" w:color="auto"/>
        <w:bottom w:val="none" w:sz="0" w:space="0" w:color="auto"/>
        <w:right w:val="none" w:sz="0" w:space="0" w:color="auto"/>
      </w:divBdr>
    </w:div>
    <w:div w:id="431753284">
      <w:bodyDiv w:val="1"/>
      <w:marLeft w:val="0"/>
      <w:marRight w:val="0"/>
      <w:marTop w:val="0"/>
      <w:marBottom w:val="0"/>
      <w:divBdr>
        <w:top w:val="none" w:sz="0" w:space="0" w:color="auto"/>
        <w:left w:val="none" w:sz="0" w:space="0" w:color="auto"/>
        <w:bottom w:val="none" w:sz="0" w:space="0" w:color="auto"/>
        <w:right w:val="none" w:sz="0" w:space="0" w:color="auto"/>
      </w:divBdr>
      <w:divsChild>
        <w:div w:id="846402852">
          <w:marLeft w:val="0"/>
          <w:marRight w:val="0"/>
          <w:marTop w:val="0"/>
          <w:marBottom w:val="0"/>
          <w:divBdr>
            <w:top w:val="none" w:sz="0" w:space="0" w:color="auto"/>
            <w:left w:val="none" w:sz="0" w:space="0" w:color="auto"/>
            <w:bottom w:val="none" w:sz="0" w:space="0" w:color="auto"/>
            <w:right w:val="none" w:sz="0" w:space="0" w:color="auto"/>
          </w:divBdr>
        </w:div>
      </w:divsChild>
    </w:div>
    <w:div w:id="446630906">
      <w:bodyDiv w:val="1"/>
      <w:marLeft w:val="0"/>
      <w:marRight w:val="0"/>
      <w:marTop w:val="0"/>
      <w:marBottom w:val="0"/>
      <w:divBdr>
        <w:top w:val="none" w:sz="0" w:space="0" w:color="auto"/>
        <w:left w:val="none" w:sz="0" w:space="0" w:color="auto"/>
        <w:bottom w:val="none" w:sz="0" w:space="0" w:color="auto"/>
        <w:right w:val="none" w:sz="0" w:space="0" w:color="auto"/>
      </w:divBdr>
    </w:div>
    <w:div w:id="541938887">
      <w:bodyDiv w:val="1"/>
      <w:marLeft w:val="0"/>
      <w:marRight w:val="0"/>
      <w:marTop w:val="0"/>
      <w:marBottom w:val="0"/>
      <w:divBdr>
        <w:top w:val="none" w:sz="0" w:space="0" w:color="auto"/>
        <w:left w:val="none" w:sz="0" w:space="0" w:color="auto"/>
        <w:bottom w:val="none" w:sz="0" w:space="0" w:color="auto"/>
        <w:right w:val="none" w:sz="0" w:space="0" w:color="auto"/>
      </w:divBdr>
    </w:div>
    <w:div w:id="659504843">
      <w:bodyDiv w:val="1"/>
      <w:marLeft w:val="0"/>
      <w:marRight w:val="0"/>
      <w:marTop w:val="0"/>
      <w:marBottom w:val="0"/>
      <w:divBdr>
        <w:top w:val="none" w:sz="0" w:space="0" w:color="auto"/>
        <w:left w:val="none" w:sz="0" w:space="0" w:color="auto"/>
        <w:bottom w:val="none" w:sz="0" w:space="0" w:color="auto"/>
        <w:right w:val="none" w:sz="0" w:space="0" w:color="auto"/>
      </w:divBdr>
    </w:div>
    <w:div w:id="726877292">
      <w:bodyDiv w:val="1"/>
      <w:marLeft w:val="0"/>
      <w:marRight w:val="0"/>
      <w:marTop w:val="0"/>
      <w:marBottom w:val="0"/>
      <w:divBdr>
        <w:top w:val="none" w:sz="0" w:space="0" w:color="auto"/>
        <w:left w:val="none" w:sz="0" w:space="0" w:color="auto"/>
        <w:bottom w:val="none" w:sz="0" w:space="0" w:color="auto"/>
        <w:right w:val="none" w:sz="0" w:space="0" w:color="auto"/>
      </w:divBdr>
      <w:divsChild>
        <w:div w:id="20013858">
          <w:marLeft w:val="0"/>
          <w:marRight w:val="0"/>
          <w:marTop w:val="0"/>
          <w:marBottom w:val="0"/>
          <w:divBdr>
            <w:top w:val="none" w:sz="0" w:space="0" w:color="auto"/>
            <w:left w:val="none" w:sz="0" w:space="0" w:color="auto"/>
            <w:bottom w:val="none" w:sz="0" w:space="0" w:color="auto"/>
            <w:right w:val="none" w:sz="0" w:space="0" w:color="auto"/>
          </w:divBdr>
        </w:div>
      </w:divsChild>
    </w:div>
    <w:div w:id="823467405">
      <w:bodyDiv w:val="1"/>
      <w:marLeft w:val="0"/>
      <w:marRight w:val="0"/>
      <w:marTop w:val="0"/>
      <w:marBottom w:val="0"/>
      <w:divBdr>
        <w:top w:val="none" w:sz="0" w:space="0" w:color="auto"/>
        <w:left w:val="none" w:sz="0" w:space="0" w:color="auto"/>
        <w:bottom w:val="none" w:sz="0" w:space="0" w:color="auto"/>
        <w:right w:val="none" w:sz="0" w:space="0" w:color="auto"/>
      </w:divBdr>
      <w:divsChild>
        <w:div w:id="655493812">
          <w:marLeft w:val="0"/>
          <w:marRight w:val="0"/>
          <w:marTop w:val="0"/>
          <w:marBottom w:val="0"/>
          <w:divBdr>
            <w:top w:val="none" w:sz="0" w:space="0" w:color="auto"/>
            <w:left w:val="none" w:sz="0" w:space="0" w:color="auto"/>
            <w:bottom w:val="none" w:sz="0" w:space="0" w:color="auto"/>
            <w:right w:val="none" w:sz="0" w:space="0" w:color="auto"/>
          </w:divBdr>
        </w:div>
      </w:divsChild>
    </w:div>
    <w:div w:id="898128138">
      <w:bodyDiv w:val="1"/>
      <w:marLeft w:val="0"/>
      <w:marRight w:val="0"/>
      <w:marTop w:val="0"/>
      <w:marBottom w:val="0"/>
      <w:divBdr>
        <w:top w:val="none" w:sz="0" w:space="0" w:color="auto"/>
        <w:left w:val="none" w:sz="0" w:space="0" w:color="auto"/>
        <w:bottom w:val="none" w:sz="0" w:space="0" w:color="auto"/>
        <w:right w:val="none" w:sz="0" w:space="0" w:color="auto"/>
      </w:divBdr>
      <w:divsChild>
        <w:div w:id="866143412">
          <w:marLeft w:val="0"/>
          <w:marRight w:val="0"/>
          <w:marTop w:val="0"/>
          <w:marBottom w:val="0"/>
          <w:divBdr>
            <w:top w:val="none" w:sz="0" w:space="0" w:color="auto"/>
            <w:left w:val="none" w:sz="0" w:space="0" w:color="auto"/>
            <w:bottom w:val="none" w:sz="0" w:space="0" w:color="auto"/>
            <w:right w:val="none" w:sz="0" w:space="0" w:color="auto"/>
          </w:divBdr>
        </w:div>
      </w:divsChild>
    </w:div>
    <w:div w:id="1000505125">
      <w:bodyDiv w:val="1"/>
      <w:marLeft w:val="0"/>
      <w:marRight w:val="0"/>
      <w:marTop w:val="0"/>
      <w:marBottom w:val="0"/>
      <w:divBdr>
        <w:top w:val="none" w:sz="0" w:space="0" w:color="auto"/>
        <w:left w:val="none" w:sz="0" w:space="0" w:color="auto"/>
        <w:bottom w:val="none" w:sz="0" w:space="0" w:color="auto"/>
        <w:right w:val="none" w:sz="0" w:space="0" w:color="auto"/>
      </w:divBdr>
    </w:div>
    <w:div w:id="1065294449">
      <w:bodyDiv w:val="1"/>
      <w:marLeft w:val="0"/>
      <w:marRight w:val="0"/>
      <w:marTop w:val="0"/>
      <w:marBottom w:val="0"/>
      <w:divBdr>
        <w:top w:val="none" w:sz="0" w:space="0" w:color="auto"/>
        <w:left w:val="none" w:sz="0" w:space="0" w:color="auto"/>
        <w:bottom w:val="none" w:sz="0" w:space="0" w:color="auto"/>
        <w:right w:val="none" w:sz="0" w:space="0" w:color="auto"/>
      </w:divBdr>
      <w:divsChild>
        <w:div w:id="495146549">
          <w:marLeft w:val="0"/>
          <w:marRight w:val="0"/>
          <w:marTop w:val="0"/>
          <w:marBottom w:val="0"/>
          <w:divBdr>
            <w:top w:val="none" w:sz="0" w:space="0" w:color="auto"/>
            <w:left w:val="none" w:sz="0" w:space="0" w:color="auto"/>
            <w:bottom w:val="none" w:sz="0" w:space="0" w:color="auto"/>
            <w:right w:val="none" w:sz="0" w:space="0" w:color="auto"/>
          </w:divBdr>
        </w:div>
      </w:divsChild>
    </w:div>
    <w:div w:id="1089230949">
      <w:bodyDiv w:val="1"/>
      <w:marLeft w:val="0"/>
      <w:marRight w:val="0"/>
      <w:marTop w:val="0"/>
      <w:marBottom w:val="0"/>
      <w:divBdr>
        <w:top w:val="none" w:sz="0" w:space="0" w:color="auto"/>
        <w:left w:val="none" w:sz="0" w:space="0" w:color="auto"/>
        <w:bottom w:val="none" w:sz="0" w:space="0" w:color="auto"/>
        <w:right w:val="none" w:sz="0" w:space="0" w:color="auto"/>
      </w:divBdr>
    </w:div>
    <w:div w:id="1195314869">
      <w:bodyDiv w:val="1"/>
      <w:marLeft w:val="0"/>
      <w:marRight w:val="0"/>
      <w:marTop w:val="0"/>
      <w:marBottom w:val="0"/>
      <w:divBdr>
        <w:top w:val="none" w:sz="0" w:space="0" w:color="auto"/>
        <w:left w:val="none" w:sz="0" w:space="0" w:color="auto"/>
        <w:bottom w:val="none" w:sz="0" w:space="0" w:color="auto"/>
        <w:right w:val="none" w:sz="0" w:space="0" w:color="auto"/>
      </w:divBdr>
      <w:divsChild>
        <w:div w:id="1623733973">
          <w:marLeft w:val="0"/>
          <w:marRight w:val="0"/>
          <w:marTop w:val="0"/>
          <w:marBottom w:val="0"/>
          <w:divBdr>
            <w:top w:val="none" w:sz="0" w:space="0" w:color="auto"/>
            <w:left w:val="none" w:sz="0" w:space="0" w:color="auto"/>
            <w:bottom w:val="none" w:sz="0" w:space="0" w:color="auto"/>
            <w:right w:val="none" w:sz="0" w:space="0" w:color="auto"/>
          </w:divBdr>
          <w:divsChild>
            <w:div w:id="916282744">
              <w:marLeft w:val="0"/>
              <w:marRight w:val="0"/>
              <w:marTop w:val="0"/>
              <w:marBottom w:val="0"/>
              <w:divBdr>
                <w:top w:val="none" w:sz="0" w:space="0" w:color="auto"/>
                <w:left w:val="none" w:sz="0" w:space="0" w:color="auto"/>
                <w:bottom w:val="none" w:sz="0" w:space="0" w:color="auto"/>
                <w:right w:val="none" w:sz="0" w:space="0" w:color="auto"/>
              </w:divBdr>
              <w:divsChild>
                <w:div w:id="19125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8079">
          <w:marLeft w:val="0"/>
          <w:marRight w:val="0"/>
          <w:marTop w:val="0"/>
          <w:marBottom w:val="0"/>
          <w:divBdr>
            <w:top w:val="none" w:sz="0" w:space="0" w:color="auto"/>
            <w:left w:val="none" w:sz="0" w:space="0" w:color="auto"/>
            <w:bottom w:val="none" w:sz="0" w:space="0" w:color="auto"/>
            <w:right w:val="none" w:sz="0" w:space="0" w:color="auto"/>
          </w:divBdr>
          <w:divsChild>
            <w:div w:id="760222031">
              <w:marLeft w:val="0"/>
              <w:marRight w:val="0"/>
              <w:marTop w:val="0"/>
              <w:marBottom w:val="0"/>
              <w:divBdr>
                <w:top w:val="none" w:sz="0" w:space="0" w:color="auto"/>
                <w:left w:val="none" w:sz="0" w:space="0" w:color="auto"/>
                <w:bottom w:val="none" w:sz="0" w:space="0" w:color="auto"/>
                <w:right w:val="none" w:sz="0" w:space="0" w:color="auto"/>
              </w:divBdr>
              <w:divsChild>
                <w:div w:id="3397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3247">
      <w:bodyDiv w:val="1"/>
      <w:marLeft w:val="0"/>
      <w:marRight w:val="0"/>
      <w:marTop w:val="0"/>
      <w:marBottom w:val="0"/>
      <w:divBdr>
        <w:top w:val="none" w:sz="0" w:space="0" w:color="auto"/>
        <w:left w:val="none" w:sz="0" w:space="0" w:color="auto"/>
        <w:bottom w:val="none" w:sz="0" w:space="0" w:color="auto"/>
        <w:right w:val="none" w:sz="0" w:space="0" w:color="auto"/>
      </w:divBdr>
      <w:divsChild>
        <w:div w:id="852384069">
          <w:marLeft w:val="0"/>
          <w:marRight w:val="0"/>
          <w:marTop w:val="0"/>
          <w:marBottom w:val="0"/>
          <w:divBdr>
            <w:top w:val="none" w:sz="0" w:space="0" w:color="auto"/>
            <w:left w:val="none" w:sz="0" w:space="0" w:color="auto"/>
            <w:bottom w:val="none" w:sz="0" w:space="0" w:color="auto"/>
            <w:right w:val="none" w:sz="0" w:space="0" w:color="auto"/>
          </w:divBdr>
        </w:div>
      </w:divsChild>
    </w:div>
    <w:div w:id="1434014260">
      <w:bodyDiv w:val="1"/>
      <w:marLeft w:val="0"/>
      <w:marRight w:val="0"/>
      <w:marTop w:val="0"/>
      <w:marBottom w:val="0"/>
      <w:divBdr>
        <w:top w:val="none" w:sz="0" w:space="0" w:color="auto"/>
        <w:left w:val="none" w:sz="0" w:space="0" w:color="auto"/>
        <w:bottom w:val="none" w:sz="0" w:space="0" w:color="auto"/>
        <w:right w:val="none" w:sz="0" w:space="0" w:color="auto"/>
      </w:divBdr>
      <w:divsChild>
        <w:div w:id="925961369">
          <w:marLeft w:val="0"/>
          <w:marRight w:val="0"/>
          <w:marTop w:val="0"/>
          <w:marBottom w:val="0"/>
          <w:divBdr>
            <w:top w:val="none" w:sz="0" w:space="0" w:color="auto"/>
            <w:left w:val="none" w:sz="0" w:space="0" w:color="auto"/>
            <w:bottom w:val="none" w:sz="0" w:space="0" w:color="auto"/>
            <w:right w:val="none" w:sz="0" w:space="0" w:color="auto"/>
          </w:divBdr>
          <w:divsChild>
            <w:div w:id="8960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1805">
      <w:bodyDiv w:val="1"/>
      <w:marLeft w:val="0"/>
      <w:marRight w:val="0"/>
      <w:marTop w:val="0"/>
      <w:marBottom w:val="0"/>
      <w:divBdr>
        <w:top w:val="none" w:sz="0" w:space="0" w:color="auto"/>
        <w:left w:val="none" w:sz="0" w:space="0" w:color="auto"/>
        <w:bottom w:val="none" w:sz="0" w:space="0" w:color="auto"/>
        <w:right w:val="none" w:sz="0" w:space="0" w:color="auto"/>
      </w:divBdr>
      <w:divsChild>
        <w:div w:id="1697081360">
          <w:marLeft w:val="0"/>
          <w:marRight w:val="0"/>
          <w:marTop w:val="0"/>
          <w:marBottom w:val="0"/>
          <w:divBdr>
            <w:top w:val="none" w:sz="0" w:space="0" w:color="auto"/>
            <w:left w:val="none" w:sz="0" w:space="0" w:color="auto"/>
            <w:bottom w:val="none" w:sz="0" w:space="0" w:color="auto"/>
            <w:right w:val="none" w:sz="0" w:space="0" w:color="auto"/>
          </w:divBdr>
        </w:div>
      </w:divsChild>
    </w:div>
    <w:div w:id="1555969853">
      <w:bodyDiv w:val="1"/>
      <w:marLeft w:val="0"/>
      <w:marRight w:val="0"/>
      <w:marTop w:val="0"/>
      <w:marBottom w:val="0"/>
      <w:divBdr>
        <w:top w:val="none" w:sz="0" w:space="0" w:color="auto"/>
        <w:left w:val="none" w:sz="0" w:space="0" w:color="auto"/>
        <w:bottom w:val="none" w:sz="0" w:space="0" w:color="auto"/>
        <w:right w:val="none" w:sz="0" w:space="0" w:color="auto"/>
      </w:divBdr>
      <w:divsChild>
        <w:div w:id="8606985">
          <w:marLeft w:val="0"/>
          <w:marRight w:val="0"/>
          <w:marTop w:val="0"/>
          <w:marBottom w:val="0"/>
          <w:divBdr>
            <w:top w:val="none" w:sz="0" w:space="0" w:color="auto"/>
            <w:left w:val="none" w:sz="0" w:space="0" w:color="auto"/>
            <w:bottom w:val="none" w:sz="0" w:space="0" w:color="auto"/>
            <w:right w:val="none" w:sz="0" w:space="0" w:color="auto"/>
          </w:divBdr>
        </w:div>
      </w:divsChild>
    </w:div>
    <w:div w:id="2003044270">
      <w:bodyDiv w:val="1"/>
      <w:marLeft w:val="0"/>
      <w:marRight w:val="0"/>
      <w:marTop w:val="0"/>
      <w:marBottom w:val="0"/>
      <w:divBdr>
        <w:top w:val="none" w:sz="0" w:space="0" w:color="auto"/>
        <w:left w:val="none" w:sz="0" w:space="0" w:color="auto"/>
        <w:bottom w:val="none" w:sz="0" w:space="0" w:color="auto"/>
        <w:right w:val="none" w:sz="0" w:space="0" w:color="auto"/>
      </w:divBdr>
      <w:divsChild>
        <w:div w:id="14945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FCCB-440B-6147-BF76-D53D2E36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Swaminathan,Sudha (Education)</cp:lastModifiedBy>
  <cp:revision>2</cp:revision>
  <dcterms:created xsi:type="dcterms:W3CDTF">2020-04-27T21:20:00Z</dcterms:created>
  <dcterms:modified xsi:type="dcterms:W3CDTF">2020-04-27T21:20:00Z</dcterms:modified>
</cp:coreProperties>
</file>