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D8" w:rsidRDefault="00F33A77" w:rsidP="00F33A77">
      <w:pPr>
        <w:jc w:val="center"/>
        <w:rPr>
          <w:b/>
        </w:rPr>
      </w:pPr>
      <w:r>
        <w:rPr>
          <w:b/>
        </w:rPr>
        <w:t>Eastern EPP Key Assessments in Initial and Advanced programs</w:t>
      </w:r>
    </w:p>
    <w:tbl>
      <w:tblPr>
        <w:tblStyle w:val="TableGrid"/>
        <w:tblW w:w="0" w:type="auto"/>
        <w:tblInd w:w="630" w:type="dxa"/>
        <w:tblLook w:val="04A0" w:firstRow="1" w:lastRow="0" w:firstColumn="1" w:lastColumn="0" w:noHBand="0" w:noVBand="1"/>
      </w:tblPr>
      <w:tblGrid>
        <w:gridCol w:w="2826"/>
        <w:gridCol w:w="2915"/>
        <w:gridCol w:w="2979"/>
      </w:tblGrid>
      <w:tr w:rsidR="00C14279" w:rsidTr="00F33A77">
        <w:tc>
          <w:tcPr>
            <w:tcW w:w="3116" w:type="dxa"/>
            <w:vAlign w:val="center"/>
          </w:tcPr>
          <w:p w:rsidR="00F33A77" w:rsidRPr="00F33A77" w:rsidRDefault="00F33A77" w:rsidP="00F33A77">
            <w:pPr>
              <w:jc w:val="center"/>
              <w:rPr>
                <w:rFonts w:ascii="Times New Roman" w:eastAsia="Times New Roman" w:hAnsi="Times New Roman" w:cs="Times New Roman"/>
                <w:b/>
                <w:sz w:val="24"/>
                <w:szCs w:val="24"/>
              </w:rPr>
            </w:pPr>
          </w:p>
        </w:tc>
        <w:tc>
          <w:tcPr>
            <w:tcW w:w="3117" w:type="dxa"/>
            <w:vAlign w:val="center"/>
          </w:tcPr>
          <w:p w:rsidR="00F33A77" w:rsidRPr="00F33A77" w:rsidRDefault="00F33A77" w:rsidP="00F33A77">
            <w:pPr>
              <w:jc w:val="center"/>
              <w:rPr>
                <w:rFonts w:ascii="Times New Roman" w:eastAsia="Times New Roman" w:hAnsi="Times New Roman" w:cs="Times New Roman"/>
                <w:b/>
                <w:sz w:val="24"/>
                <w:szCs w:val="24"/>
              </w:rPr>
            </w:pPr>
            <w:r w:rsidRPr="00F33A77">
              <w:rPr>
                <w:rFonts w:ascii="Times New Roman" w:eastAsia="Times New Roman" w:hAnsi="Times New Roman" w:cs="Times New Roman"/>
                <w:b/>
                <w:sz w:val="24"/>
                <w:szCs w:val="24"/>
              </w:rPr>
              <w:t>Initial</w:t>
            </w:r>
          </w:p>
        </w:tc>
        <w:tc>
          <w:tcPr>
            <w:tcW w:w="3117" w:type="dxa"/>
            <w:vAlign w:val="center"/>
          </w:tcPr>
          <w:p w:rsidR="00F33A77" w:rsidRPr="00F33A77" w:rsidRDefault="00F33A77" w:rsidP="00F33A77">
            <w:pPr>
              <w:jc w:val="center"/>
              <w:rPr>
                <w:rFonts w:ascii="Times New Roman" w:eastAsia="Times New Roman" w:hAnsi="Times New Roman" w:cs="Times New Roman"/>
                <w:b/>
                <w:sz w:val="24"/>
                <w:szCs w:val="24"/>
              </w:rPr>
            </w:pPr>
            <w:r w:rsidRPr="00F33A77">
              <w:rPr>
                <w:rFonts w:ascii="Times New Roman" w:eastAsia="Times New Roman" w:hAnsi="Times New Roman" w:cs="Times New Roman"/>
                <w:b/>
                <w:sz w:val="24"/>
                <w:szCs w:val="24"/>
              </w:rPr>
              <w:t>Advanced</w:t>
            </w:r>
          </w:p>
        </w:tc>
      </w:tr>
      <w:tr w:rsidR="00C14279" w:rsidTr="00F33A77">
        <w:tc>
          <w:tcPr>
            <w:tcW w:w="3116" w:type="dxa"/>
            <w:vAlign w:val="center"/>
          </w:tcPr>
          <w:p w:rsidR="00F33A77" w:rsidRPr="00F33A77" w:rsidRDefault="00F33A77" w:rsidP="00F33A77">
            <w:pPr>
              <w:rPr>
                <w:rFonts w:ascii="Times New Roman" w:eastAsia="Times New Roman" w:hAnsi="Times New Roman" w:cs="Times New Roman"/>
                <w:b/>
                <w:sz w:val="24"/>
                <w:szCs w:val="24"/>
              </w:rPr>
            </w:pPr>
            <w:r w:rsidRPr="00F33A77">
              <w:rPr>
                <w:rFonts w:ascii="Times New Roman" w:eastAsia="Times New Roman" w:hAnsi="Times New Roman" w:cs="Times New Roman"/>
                <w:b/>
                <w:sz w:val="24"/>
                <w:szCs w:val="24"/>
              </w:rPr>
              <w:t>Admission</w:t>
            </w:r>
          </w:p>
        </w:tc>
        <w:tc>
          <w:tcPr>
            <w:tcW w:w="3117" w:type="dxa"/>
          </w:tcPr>
          <w:p w:rsidR="00F33A77" w:rsidRPr="00F33A77" w:rsidRDefault="00F33A77" w:rsidP="00F33A77">
            <w:pPr>
              <w:pStyle w:val="ListParagraph"/>
              <w:numPr>
                <w:ilvl w:val="0"/>
                <w:numId w:val="3"/>
              </w:numPr>
              <w:ind w:left="341"/>
              <w:rPr>
                <w:rFonts w:ascii="Times New Roman" w:hAnsi="Times New Roman" w:cs="Times New Roman"/>
                <w:sz w:val="24"/>
                <w:szCs w:val="24"/>
              </w:rPr>
            </w:pPr>
            <w:r w:rsidRPr="00F33A77">
              <w:rPr>
                <w:rFonts w:ascii="Times New Roman" w:hAnsi="Times New Roman" w:cs="Times New Roman"/>
                <w:sz w:val="24"/>
                <w:szCs w:val="24"/>
              </w:rPr>
              <w:t>CARE admission</w:t>
            </w:r>
          </w:p>
          <w:p w:rsidR="00F33A77" w:rsidRPr="00F33A77" w:rsidRDefault="00F33A77" w:rsidP="00F33A77">
            <w:pPr>
              <w:pStyle w:val="ListParagraph"/>
              <w:numPr>
                <w:ilvl w:val="0"/>
                <w:numId w:val="3"/>
              </w:numPr>
              <w:ind w:left="341"/>
              <w:rPr>
                <w:rFonts w:ascii="Times New Roman" w:hAnsi="Times New Roman" w:cs="Times New Roman"/>
                <w:sz w:val="24"/>
                <w:szCs w:val="24"/>
              </w:rPr>
            </w:pPr>
            <w:r w:rsidRPr="00F33A77">
              <w:rPr>
                <w:rFonts w:ascii="Times New Roman" w:hAnsi="Times New Roman" w:cs="Times New Roman"/>
                <w:sz w:val="24"/>
                <w:szCs w:val="24"/>
              </w:rPr>
              <w:t>Test Scores basi</w:t>
            </w:r>
            <w:r w:rsidRPr="00F33A77">
              <w:rPr>
                <w:rFonts w:ascii="Times New Roman" w:hAnsi="Times New Roman" w:cs="Times New Roman"/>
                <w:sz w:val="24"/>
                <w:szCs w:val="24"/>
              </w:rPr>
              <w:t>c skills (Praxis I) or waiver</w:t>
            </w:r>
          </w:p>
          <w:p w:rsidR="00F33A77" w:rsidRPr="00F33A77" w:rsidRDefault="00F33A77" w:rsidP="00F33A77">
            <w:pPr>
              <w:pStyle w:val="ListParagraph"/>
              <w:numPr>
                <w:ilvl w:val="0"/>
                <w:numId w:val="3"/>
              </w:numPr>
              <w:ind w:left="341"/>
              <w:rPr>
                <w:rFonts w:ascii="Times New Roman" w:eastAsia="Times New Roman" w:hAnsi="Times New Roman" w:cs="Times New Roman"/>
                <w:sz w:val="24"/>
                <w:szCs w:val="24"/>
              </w:rPr>
            </w:pPr>
            <w:r w:rsidRPr="00F33A77">
              <w:rPr>
                <w:rFonts w:ascii="Times New Roman" w:hAnsi="Times New Roman" w:cs="Times New Roman"/>
                <w:sz w:val="24"/>
                <w:szCs w:val="24"/>
              </w:rPr>
              <w:t>Praxis II (Secondary graduate)</w:t>
            </w:r>
          </w:p>
        </w:tc>
        <w:tc>
          <w:tcPr>
            <w:tcW w:w="3117" w:type="dxa"/>
          </w:tcPr>
          <w:p w:rsidR="00F33A77" w:rsidRDefault="00F33A77" w:rsidP="00F33A77">
            <w:pPr>
              <w:pStyle w:val="ListParagraph"/>
              <w:numPr>
                <w:ilvl w:val="0"/>
                <w:numId w:val="3"/>
              </w:numPr>
              <w:ind w:left="341"/>
              <w:rPr>
                <w:rFonts w:ascii="Times New Roman" w:hAnsi="Times New Roman" w:cs="Times New Roman"/>
                <w:sz w:val="24"/>
                <w:szCs w:val="24"/>
              </w:rPr>
            </w:pPr>
            <w:r>
              <w:rPr>
                <w:rFonts w:ascii="Times New Roman" w:hAnsi="Times New Roman" w:cs="Times New Roman"/>
                <w:sz w:val="24"/>
                <w:szCs w:val="24"/>
              </w:rPr>
              <w:t>Graduate Admission</w:t>
            </w:r>
          </w:p>
          <w:p w:rsidR="00F33A77" w:rsidRPr="00F33A77" w:rsidRDefault="00F33A77" w:rsidP="00F33A77">
            <w:pPr>
              <w:pStyle w:val="ListParagraph"/>
              <w:numPr>
                <w:ilvl w:val="0"/>
                <w:numId w:val="3"/>
              </w:numPr>
              <w:ind w:left="341"/>
              <w:rPr>
                <w:rFonts w:ascii="Times New Roman" w:hAnsi="Times New Roman" w:cs="Times New Roman"/>
                <w:sz w:val="24"/>
                <w:szCs w:val="24"/>
              </w:rPr>
            </w:pPr>
            <w:r>
              <w:rPr>
                <w:rFonts w:ascii="Times New Roman" w:hAnsi="Times New Roman" w:cs="Times New Roman"/>
                <w:sz w:val="24"/>
                <w:szCs w:val="24"/>
              </w:rPr>
              <w:t>Professional Recommendation</w:t>
            </w:r>
          </w:p>
        </w:tc>
      </w:tr>
      <w:tr w:rsidR="00C14279" w:rsidTr="00F33A77">
        <w:tc>
          <w:tcPr>
            <w:tcW w:w="3116" w:type="dxa"/>
            <w:vAlign w:val="center"/>
          </w:tcPr>
          <w:p w:rsidR="00F33A77" w:rsidRPr="00F33A77" w:rsidRDefault="00F33A77" w:rsidP="00F33A77">
            <w:pPr>
              <w:rPr>
                <w:rFonts w:ascii="Times New Roman" w:eastAsia="Times New Roman" w:hAnsi="Times New Roman" w:cs="Times New Roman"/>
                <w:b/>
                <w:sz w:val="24"/>
                <w:szCs w:val="24"/>
              </w:rPr>
            </w:pPr>
            <w:r w:rsidRPr="00F33A77">
              <w:rPr>
                <w:rFonts w:ascii="Times New Roman" w:eastAsia="Times New Roman" w:hAnsi="Times New Roman" w:cs="Times New Roman"/>
                <w:b/>
                <w:sz w:val="24"/>
                <w:szCs w:val="24"/>
              </w:rPr>
              <w:t>Midpoint</w:t>
            </w:r>
          </w:p>
        </w:tc>
        <w:tc>
          <w:tcPr>
            <w:tcW w:w="3117" w:type="dxa"/>
          </w:tcPr>
          <w:p w:rsidR="00F33A77" w:rsidRDefault="00F33A77" w:rsidP="00F33A77">
            <w:pPr>
              <w:pStyle w:val="ListParagraph"/>
              <w:numPr>
                <w:ilvl w:val="0"/>
                <w:numId w:val="3"/>
              </w:numPr>
              <w:ind w:left="341"/>
              <w:rPr>
                <w:rFonts w:ascii="Times New Roman" w:hAnsi="Times New Roman" w:cs="Times New Roman"/>
                <w:sz w:val="24"/>
                <w:szCs w:val="24"/>
              </w:rPr>
            </w:pPr>
            <w:r>
              <w:rPr>
                <w:rFonts w:ascii="Times New Roman" w:hAnsi="Times New Roman" w:cs="Times New Roman"/>
                <w:sz w:val="24"/>
                <w:szCs w:val="24"/>
              </w:rPr>
              <w:t>Core I portfolio</w:t>
            </w:r>
          </w:p>
          <w:p w:rsidR="00F33A77" w:rsidRDefault="00F33A77" w:rsidP="00F33A77">
            <w:pPr>
              <w:pStyle w:val="ListParagraph"/>
              <w:numPr>
                <w:ilvl w:val="0"/>
                <w:numId w:val="3"/>
              </w:numPr>
              <w:ind w:left="341"/>
              <w:rPr>
                <w:rFonts w:ascii="Times New Roman" w:hAnsi="Times New Roman" w:cs="Times New Roman"/>
                <w:sz w:val="24"/>
                <w:szCs w:val="24"/>
              </w:rPr>
            </w:pPr>
            <w:r>
              <w:rPr>
                <w:rFonts w:ascii="Times New Roman" w:hAnsi="Times New Roman" w:cs="Times New Roman"/>
                <w:sz w:val="24"/>
                <w:szCs w:val="24"/>
              </w:rPr>
              <w:t>Core II portfolio</w:t>
            </w:r>
          </w:p>
          <w:p w:rsidR="00F33A77" w:rsidRDefault="00F33A77" w:rsidP="00F33A77">
            <w:pPr>
              <w:pStyle w:val="ListParagraph"/>
              <w:numPr>
                <w:ilvl w:val="0"/>
                <w:numId w:val="3"/>
              </w:numPr>
              <w:ind w:left="341"/>
              <w:rPr>
                <w:rFonts w:ascii="Times New Roman" w:hAnsi="Times New Roman" w:cs="Times New Roman"/>
                <w:sz w:val="24"/>
                <w:szCs w:val="24"/>
              </w:rPr>
            </w:pPr>
            <w:r>
              <w:rPr>
                <w:rFonts w:ascii="Times New Roman" w:hAnsi="Times New Roman" w:cs="Times New Roman"/>
                <w:sz w:val="24"/>
                <w:szCs w:val="24"/>
              </w:rPr>
              <w:t>Core III portfolio</w:t>
            </w:r>
          </w:p>
          <w:p w:rsidR="00F33A77" w:rsidRDefault="00F33A77" w:rsidP="00F33A77">
            <w:pPr>
              <w:pStyle w:val="ListParagraph"/>
              <w:numPr>
                <w:ilvl w:val="0"/>
                <w:numId w:val="3"/>
              </w:numPr>
              <w:ind w:left="341"/>
              <w:rPr>
                <w:rFonts w:ascii="Times New Roman" w:hAnsi="Times New Roman" w:cs="Times New Roman"/>
                <w:sz w:val="24"/>
                <w:szCs w:val="24"/>
              </w:rPr>
            </w:pPr>
            <w:r>
              <w:rPr>
                <w:rFonts w:ascii="Times New Roman" w:hAnsi="Times New Roman" w:cs="Times New Roman"/>
                <w:sz w:val="24"/>
                <w:szCs w:val="24"/>
              </w:rPr>
              <w:t>Clinical Evaluations in Core I and II</w:t>
            </w:r>
          </w:p>
          <w:p w:rsidR="00F33A77" w:rsidRPr="00F33A77" w:rsidRDefault="00F33A77" w:rsidP="00F33A77">
            <w:pPr>
              <w:pStyle w:val="ListParagraph"/>
              <w:numPr>
                <w:ilvl w:val="0"/>
                <w:numId w:val="3"/>
              </w:numPr>
              <w:ind w:left="341"/>
              <w:rPr>
                <w:rFonts w:ascii="Times New Roman" w:hAnsi="Times New Roman" w:cs="Times New Roman"/>
                <w:sz w:val="24"/>
                <w:szCs w:val="24"/>
              </w:rPr>
            </w:pPr>
            <w:r>
              <w:rPr>
                <w:rFonts w:ascii="Times New Roman" w:hAnsi="Times New Roman" w:cs="Times New Roman"/>
                <w:sz w:val="24"/>
                <w:szCs w:val="24"/>
              </w:rPr>
              <w:t xml:space="preserve">Pre-Student Teaching </w:t>
            </w:r>
            <w:r w:rsidR="00C14279">
              <w:rPr>
                <w:rFonts w:ascii="Times New Roman" w:hAnsi="Times New Roman" w:cs="Times New Roman"/>
                <w:sz w:val="24"/>
                <w:szCs w:val="24"/>
              </w:rPr>
              <w:t xml:space="preserve">(or Practicum in Special Education for Early Childhood) </w:t>
            </w:r>
            <w:bookmarkStart w:id="0" w:name="_GoBack"/>
            <w:bookmarkEnd w:id="0"/>
            <w:r>
              <w:rPr>
                <w:rFonts w:ascii="Times New Roman" w:hAnsi="Times New Roman" w:cs="Times New Roman"/>
                <w:sz w:val="24"/>
                <w:szCs w:val="24"/>
              </w:rPr>
              <w:t>Evaluation in Core III</w:t>
            </w:r>
          </w:p>
        </w:tc>
        <w:tc>
          <w:tcPr>
            <w:tcW w:w="3117" w:type="dxa"/>
          </w:tcPr>
          <w:p w:rsidR="00F33A77" w:rsidRDefault="00F33A77" w:rsidP="00F33A77">
            <w:pPr>
              <w:pStyle w:val="ListParagraph"/>
              <w:numPr>
                <w:ilvl w:val="0"/>
                <w:numId w:val="3"/>
              </w:numPr>
              <w:ind w:left="341"/>
              <w:rPr>
                <w:rFonts w:ascii="Times New Roman" w:hAnsi="Times New Roman" w:cs="Times New Roman"/>
                <w:sz w:val="24"/>
                <w:szCs w:val="24"/>
              </w:rPr>
            </w:pPr>
            <w:r>
              <w:rPr>
                <w:rFonts w:ascii="Times New Roman" w:hAnsi="Times New Roman" w:cs="Times New Roman"/>
                <w:sz w:val="24"/>
                <w:szCs w:val="24"/>
              </w:rPr>
              <w:t>Clinical Assessment</w:t>
            </w:r>
          </w:p>
          <w:p w:rsidR="00F33A77" w:rsidRDefault="00F33A77" w:rsidP="00F33A77">
            <w:pPr>
              <w:pStyle w:val="ListParagraph"/>
              <w:numPr>
                <w:ilvl w:val="0"/>
                <w:numId w:val="3"/>
              </w:numPr>
              <w:ind w:left="341"/>
              <w:rPr>
                <w:rFonts w:ascii="Times New Roman" w:hAnsi="Times New Roman" w:cs="Times New Roman"/>
                <w:sz w:val="24"/>
                <w:szCs w:val="24"/>
              </w:rPr>
            </w:pPr>
            <w:r>
              <w:rPr>
                <w:rFonts w:ascii="Times New Roman" w:hAnsi="Times New Roman" w:cs="Times New Roman"/>
                <w:sz w:val="24"/>
                <w:szCs w:val="24"/>
              </w:rPr>
              <w:t>Case study</w:t>
            </w:r>
          </w:p>
          <w:p w:rsidR="00F33A77" w:rsidRDefault="00F33A77" w:rsidP="00F33A77">
            <w:pPr>
              <w:pStyle w:val="ListParagraph"/>
              <w:numPr>
                <w:ilvl w:val="0"/>
                <w:numId w:val="3"/>
              </w:numPr>
              <w:ind w:left="341"/>
              <w:rPr>
                <w:rFonts w:ascii="Times New Roman" w:hAnsi="Times New Roman" w:cs="Times New Roman"/>
                <w:sz w:val="24"/>
                <w:szCs w:val="24"/>
              </w:rPr>
            </w:pPr>
            <w:r>
              <w:rPr>
                <w:rFonts w:ascii="Times New Roman" w:hAnsi="Times New Roman" w:cs="Times New Roman"/>
                <w:sz w:val="24"/>
                <w:szCs w:val="24"/>
              </w:rPr>
              <w:t>Consultancy Protocol</w:t>
            </w:r>
          </w:p>
          <w:p w:rsidR="00F33A77" w:rsidRPr="00F33A77" w:rsidRDefault="00F33A77" w:rsidP="00F33A77">
            <w:pPr>
              <w:pStyle w:val="ListParagraph"/>
              <w:numPr>
                <w:ilvl w:val="0"/>
                <w:numId w:val="3"/>
              </w:numPr>
              <w:ind w:left="341"/>
              <w:rPr>
                <w:rFonts w:ascii="Times New Roman" w:hAnsi="Times New Roman" w:cs="Times New Roman"/>
                <w:sz w:val="24"/>
                <w:szCs w:val="24"/>
              </w:rPr>
            </w:pPr>
            <w:r>
              <w:rPr>
                <w:rFonts w:ascii="Times New Roman" w:hAnsi="Times New Roman" w:cs="Times New Roman"/>
                <w:sz w:val="24"/>
                <w:szCs w:val="24"/>
              </w:rPr>
              <w:t>Learning from Student Work</w:t>
            </w:r>
          </w:p>
        </w:tc>
      </w:tr>
      <w:tr w:rsidR="00C14279" w:rsidTr="00F33A77">
        <w:tc>
          <w:tcPr>
            <w:tcW w:w="3116" w:type="dxa"/>
            <w:vAlign w:val="center"/>
          </w:tcPr>
          <w:p w:rsidR="00F33A77" w:rsidRPr="00F33A77" w:rsidRDefault="00F33A77" w:rsidP="00F33A77">
            <w:pPr>
              <w:rPr>
                <w:rFonts w:ascii="Times New Roman" w:eastAsia="Times New Roman" w:hAnsi="Times New Roman" w:cs="Times New Roman"/>
                <w:b/>
                <w:sz w:val="24"/>
                <w:szCs w:val="24"/>
              </w:rPr>
            </w:pPr>
            <w:r w:rsidRPr="00F33A77">
              <w:rPr>
                <w:rFonts w:ascii="Times New Roman" w:eastAsia="Times New Roman" w:hAnsi="Times New Roman" w:cs="Times New Roman"/>
                <w:b/>
                <w:sz w:val="24"/>
                <w:szCs w:val="24"/>
              </w:rPr>
              <w:t>Exit</w:t>
            </w:r>
          </w:p>
        </w:tc>
        <w:tc>
          <w:tcPr>
            <w:tcW w:w="3117" w:type="dxa"/>
          </w:tcPr>
          <w:p w:rsidR="00F33A77" w:rsidRDefault="00F33A77" w:rsidP="00F33A77">
            <w:pPr>
              <w:pStyle w:val="ListParagraph"/>
              <w:numPr>
                <w:ilvl w:val="0"/>
                <w:numId w:val="3"/>
              </w:numPr>
              <w:ind w:left="341"/>
              <w:rPr>
                <w:rFonts w:ascii="Times New Roman" w:hAnsi="Times New Roman" w:cs="Times New Roman"/>
                <w:sz w:val="24"/>
                <w:szCs w:val="24"/>
              </w:rPr>
            </w:pPr>
            <w:r>
              <w:rPr>
                <w:rFonts w:ascii="Times New Roman" w:hAnsi="Times New Roman" w:cs="Times New Roman"/>
                <w:sz w:val="24"/>
                <w:szCs w:val="24"/>
              </w:rPr>
              <w:t>Student Teaching Evaluation</w:t>
            </w:r>
          </w:p>
          <w:p w:rsidR="00F33A77" w:rsidRDefault="00F33A77" w:rsidP="00F33A77">
            <w:pPr>
              <w:pStyle w:val="ListParagraph"/>
              <w:numPr>
                <w:ilvl w:val="0"/>
                <w:numId w:val="3"/>
              </w:numPr>
              <w:ind w:left="341"/>
              <w:rPr>
                <w:rFonts w:ascii="Times New Roman" w:hAnsi="Times New Roman" w:cs="Times New Roman"/>
                <w:sz w:val="24"/>
                <w:szCs w:val="24"/>
              </w:rPr>
            </w:pPr>
            <w:r>
              <w:rPr>
                <w:rFonts w:ascii="Times New Roman" w:hAnsi="Times New Roman" w:cs="Times New Roman"/>
                <w:sz w:val="24"/>
                <w:szCs w:val="24"/>
              </w:rPr>
              <w:t>Student Impact Portfolio</w:t>
            </w:r>
          </w:p>
          <w:p w:rsidR="00F33A77" w:rsidRPr="00F33A77" w:rsidRDefault="00F33A77" w:rsidP="00F33A77">
            <w:pPr>
              <w:pStyle w:val="ListParagraph"/>
              <w:numPr>
                <w:ilvl w:val="0"/>
                <w:numId w:val="3"/>
              </w:numPr>
              <w:ind w:left="341"/>
              <w:rPr>
                <w:rFonts w:ascii="Times New Roman" w:hAnsi="Times New Roman" w:cs="Times New Roman"/>
                <w:sz w:val="24"/>
                <w:szCs w:val="24"/>
              </w:rPr>
            </w:pPr>
            <w:r>
              <w:rPr>
                <w:rFonts w:ascii="Times New Roman" w:hAnsi="Times New Roman" w:cs="Times New Roman"/>
                <w:sz w:val="24"/>
                <w:szCs w:val="24"/>
              </w:rPr>
              <w:t>End of Program/Exit Survey</w:t>
            </w:r>
          </w:p>
        </w:tc>
        <w:tc>
          <w:tcPr>
            <w:tcW w:w="3117" w:type="dxa"/>
          </w:tcPr>
          <w:p w:rsidR="00C14279" w:rsidRDefault="00F33A77" w:rsidP="00C14279">
            <w:pPr>
              <w:pStyle w:val="ListParagraph"/>
              <w:numPr>
                <w:ilvl w:val="0"/>
                <w:numId w:val="3"/>
              </w:numPr>
              <w:ind w:left="341"/>
              <w:rPr>
                <w:rFonts w:ascii="Times New Roman" w:hAnsi="Times New Roman" w:cs="Times New Roman"/>
                <w:sz w:val="24"/>
                <w:szCs w:val="24"/>
              </w:rPr>
            </w:pPr>
            <w:r>
              <w:rPr>
                <w:rFonts w:ascii="Times New Roman" w:hAnsi="Times New Roman" w:cs="Times New Roman"/>
                <w:sz w:val="24"/>
                <w:szCs w:val="24"/>
              </w:rPr>
              <w:t>Action Research</w:t>
            </w:r>
          </w:p>
          <w:p w:rsidR="00F33A77" w:rsidRPr="00C14279" w:rsidRDefault="00F33A77" w:rsidP="00C14279">
            <w:pPr>
              <w:pStyle w:val="ListParagraph"/>
              <w:numPr>
                <w:ilvl w:val="0"/>
                <w:numId w:val="3"/>
              </w:numPr>
              <w:ind w:left="341"/>
              <w:rPr>
                <w:rFonts w:ascii="Times New Roman" w:hAnsi="Times New Roman" w:cs="Times New Roman"/>
                <w:sz w:val="24"/>
                <w:szCs w:val="24"/>
              </w:rPr>
            </w:pPr>
            <w:r w:rsidRPr="00C14279">
              <w:rPr>
                <w:rFonts w:ascii="Times New Roman" w:hAnsi="Times New Roman" w:cs="Times New Roman"/>
                <w:sz w:val="24"/>
                <w:szCs w:val="24"/>
              </w:rPr>
              <w:t>Capstone Portfolio</w:t>
            </w:r>
          </w:p>
          <w:p w:rsidR="00F33A77" w:rsidRPr="00F33A77" w:rsidRDefault="00F33A77" w:rsidP="00F33A77">
            <w:pPr>
              <w:pStyle w:val="ListParagraph"/>
              <w:numPr>
                <w:ilvl w:val="0"/>
                <w:numId w:val="3"/>
              </w:numPr>
              <w:ind w:left="341"/>
              <w:rPr>
                <w:rFonts w:ascii="Times New Roman" w:hAnsi="Times New Roman" w:cs="Times New Roman"/>
                <w:sz w:val="24"/>
                <w:szCs w:val="24"/>
              </w:rPr>
            </w:pPr>
            <w:r>
              <w:rPr>
                <w:rFonts w:ascii="Times New Roman" w:hAnsi="Times New Roman" w:cs="Times New Roman"/>
                <w:sz w:val="24"/>
                <w:szCs w:val="24"/>
              </w:rPr>
              <w:t>End of Program/Exit Survey</w:t>
            </w:r>
          </w:p>
        </w:tc>
      </w:tr>
    </w:tbl>
    <w:p w:rsidR="00F33A77" w:rsidRDefault="00F33A77" w:rsidP="00F33A77">
      <w:pPr>
        <w:spacing w:after="0" w:line="240" w:lineRule="auto"/>
        <w:ind w:left="630" w:firstLine="720"/>
        <w:rPr>
          <w:rFonts w:ascii="Times New Roman" w:eastAsia="Times New Roman" w:hAnsi="Times New Roman" w:cs="Times New Roman"/>
          <w:sz w:val="24"/>
          <w:szCs w:val="24"/>
        </w:rPr>
      </w:pPr>
    </w:p>
    <w:p w:rsidR="00F33A77" w:rsidRDefault="00F33A77" w:rsidP="00F33A77">
      <w:pPr>
        <w:spacing w:after="0" w:line="276" w:lineRule="auto"/>
        <w:rPr>
          <w:rFonts w:ascii="Times New Roman" w:hAnsi="Times New Roman" w:cs="Times New Roman"/>
          <w:sz w:val="24"/>
          <w:szCs w:val="24"/>
        </w:rPr>
      </w:pPr>
    </w:p>
    <w:p w:rsidR="00F33A77" w:rsidRDefault="00F33A77" w:rsidP="00F33A77">
      <w:pPr>
        <w:spacing w:after="0" w:line="276" w:lineRule="auto"/>
        <w:rPr>
          <w:rFonts w:ascii="Times New Roman" w:hAnsi="Times New Roman" w:cs="Times New Roman"/>
          <w:sz w:val="24"/>
          <w:szCs w:val="24"/>
        </w:rPr>
      </w:pPr>
      <w:r>
        <w:rPr>
          <w:rFonts w:ascii="Times New Roman" w:hAnsi="Times New Roman" w:cs="Times New Roman"/>
          <w:sz w:val="24"/>
          <w:szCs w:val="24"/>
          <w:u w:val="single"/>
        </w:rPr>
        <w:t xml:space="preserve">Initial </w:t>
      </w:r>
      <w:r w:rsidRPr="00F33A77">
        <w:rPr>
          <w:rFonts w:ascii="Times New Roman" w:hAnsi="Times New Roman" w:cs="Times New Roman"/>
          <w:sz w:val="24"/>
          <w:szCs w:val="24"/>
          <w:u w:val="single"/>
        </w:rPr>
        <w:t>Candidates</w:t>
      </w:r>
      <w:r>
        <w:rPr>
          <w:rFonts w:ascii="Times New Roman" w:hAnsi="Times New Roman" w:cs="Times New Roman"/>
          <w:sz w:val="24"/>
          <w:szCs w:val="24"/>
        </w:rPr>
        <w:t xml:space="preserve">:  </w:t>
      </w:r>
      <w:r w:rsidRPr="00F33A77">
        <w:rPr>
          <w:rFonts w:ascii="Times New Roman" w:hAnsi="Times New Roman" w:cs="Times New Roman"/>
          <w:sz w:val="24"/>
          <w:szCs w:val="24"/>
        </w:rPr>
        <w:t>In</w:t>
      </w:r>
      <w:r w:rsidRPr="009A2BB8">
        <w:rPr>
          <w:rFonts w:ascii="Times New Roman" w:hAnsi="Times New Roman" w:cs="Times New Roman"/>
          <w:sz w:val="24"/>
          <w:szCs w:val="24"/>
        </w:rPr>
        <w:t xml:space="preserve"> addition to the admission requirements for the initial programs, candidates are evaluated at Core I, II, and III (coinciding with three subsequent semesters or terms of clinical) through portfolios as key assessments that document their understanding and application of knowledge and skills relevant to their discipline and our conceptual framework and candidate learning outcomes. They are also evaluated with clinical assessments during their field experiences. </w:t>
      </w:r>
      <w:r>
        <w:rPr>
          <w:rFonts w:ascii="Times New Roman" w:hAnsi="Times New Roman" w:cs="Times New Roman"/>
          <w:sz w:val="24"/>
          <w:szCs w:val="24"/>
        </w:rPr>
        <w:t xml:space="preserve"> </w:t>
      </w:r>
      <w:r w:rsidRPr="009A2BB8">
        <w:rPr>
          <w:rFonts w:ascii="Times New Roman" w:hAnsi="Times New Roman" w:cs="Times New Roman"/>
          <w:sz w:val="24"/>
          <w:szCs w:val="24"/>
        </w:rPr>
        <w:t>At exit, candidates are evaluated during student teaching (Core IV) with the student teaching evaluation instrument and the impact portfolio</w:t>
      </w:r>
      <w:proofErr w:type="gramStart"/>
      <w:r w:rsidRPr="009A2BB8">
        <w:rPr>
          <w:rFonts w:ascii="Times New Roman" w:hAnsi="Times New Roman" w:cs="Times New Roman"/>
          <w:sz w:val="24"/>
          <w:szCs w:val="24"/>
        </w:rPr>
        <w:t>..</w:t>
      </w:r>
      <w:proofErr w:type="gramEnd"/>
      <w:r w:rsidRPr="009A2BB8">
        <w:rPr>
          <w:rFonts w:ascii="Times New Roman" w:hAnsi="Times New Roman" w:cs="Times New Roman"/>
          <w:sz w:val="24"/>
          <w:szCs w:val="24"/>
        </w:rPr>
        <w:t xml:space="preserve"> At exit, candidates also complete the end of program/exit survey.</w:t>
      </w:r>
    </w:p>
    <w:p w:rsidR="00F33A77" w:rsidRDefault="00F33A77" w:rsidP="00F33A77">
      <w:pPr>
        <w:spacing w:after="0" w:line="276" w:lineRule="auto"/>
        <w:rPr>
          <w:rFonts w:ascii="Times New Roman" w:hAnsi="Times New Roman" w:cs="Times New Roman"/>
          <w:sz w:val="24"/>
          <w:szCs w:val="24"/>
        </w:rPr>
      </w:pPr>
    </w:p>
    <w:p w:rsidR="00F33A77" w:rsidRDefault="00F33A77" w:rsidP="00F33A77">
      <w:pPr>
        <w:spacing w:after="0" w:line="276" w:lineRule="auto"/>
        <w:rPr>
          <w:rFonts w:ascii="Times New Roman" w:hAnsi="Times New Roman" w:cs="Times New Roman"/>
          <w:sz w:val="24"/>
          <w:szCs w:val="24"/>
        </w:rPr>
      </w:pPr>
      <w:r w:rsidRPr="00F33A77">
        <w:rPr>
          <w:rFonts w:ascii="Times New Roman" w:hAnsi="Times New Roman" w:cs="Times New Roman"/>
          <w:sz w:val="24"/>
          <w:szCs w:val="24"/>
          <w:u w:val="single"/>
        </w:rPr>
        <w:t>Advanced Candidates</w:t>
      </w:r>
      <w:r>
        <w:rPr>
          <w:rFonts w:ascii="Times New Roman" w:hAnsi="Times New Roman" w:cs="Times New Roman"/>
          <w:sz w:val="24"/>
          <w:szCs w:val="24"/>
        </w:rPr>
        <w:t xml:space="preserve">: </w:t>
      </w:r>
      <w:r w:rsidRPr="009A2BB8">
        <w:rPr>
          <w:rFonts w:ascii="Times New Roman" w:hAnsi="Times New Roman" w:cs="Times New Roman"/>
          <w:sz w:val="24"/>
          <w:szCs w:val="24"/>
        </w:rPr>
        <w:t xml:space="preserve">   </w:t>
      </w:r>
      <w:r w:rsidRPr="009A2BB8">
        <w:rPr>
          <w:rFonts w:ascii="Times New Roman" w:hAnsi="Times New Roman" w:cs="Times New Roman"/>
          <w:iCs/>
          <w:sz w:val="24"/>
          <w:szCs w:val="24"/>
        </w:rPr>
        <w:t xml:space="preserve">Given that advanced programs are predicated on the notion that potential candidates will hold teacher licensure prior to matriculation, the revised assessment system for advanced candidates is uniquely different from that for initial programs. </w:t>
      </w:r>
      <w:r w:rsidRPr="009A2BB8">
        <w:rPr>
          <w:rFonts w:ascii="Times New Roman" w:hAnsi="Times New Roman" w:cs="Times New Roman"/>
          <w:sz w:val="24"/>
          <w:szCs w:val="24"/>
        </w:rPr>
        <w:t xml:space="preserve">Currently, advanced level, graduate (non-certification) candidates complete one clinical experience. This clinical occurs during the English language learners (ELL) course.  Embedded within this course is a Case Study assessment, which focuses on diagnostic, instructional design, implementation, and evaluation knowledge and skills to support English language learners. </w:t>
      </w:r>
    </w:p>
    <w:p w:rsidR="00F33A77" w:rsidRDefault="00F33A77" w:rsidP="00F33A77">
      <w:pPr>
        <w:spacing w:after="0" w:line="276" w:lineRule="auto"/>
        <w:rPr>
          <w:rFonts w:ascii="Times New Roman" w:hAnsi="Times New Roman" w:cs="Times New Roman"/>
          <w:sz w:val="24"/>
          <w:szCs w:val="24"/>
        </w:rPr>
      </w:pPr>
    </w:p>
    <w:p w:rsidR="00F33A77" w:rsidRDefault="00F33A77" w:rsidP="00F33A77">
      <w:pPr>
        <w:spacing w:after="0" w:line="276" w:lineRule="auto"/>
        <w:rPr>
          <w:rFonts w:ascii="Times New Roman" w:hAnsi="Times New Roman" w:cs="Times New Roman"/>
          <w:sz w:val="24"/>
          <w:szCs w:val="24"/>
        </w:rPr>
      </w:pPr>
      <w:r w:rsidRPr="009A2BB8">
        <w:rPr>
          <w:rFonts w:ascii="Times New Roman" w:hAnsi="Times New Roman" w:cs="Times New Roman"/>
          <w:sz w:val="24"/>
          <w:szCs w:val="24"/>
        </w:rPr>
        <w:lastRenderedPageBreak/>
        <w:t>Several of the newly developed, key assessments are formative and promote collaborative inquiry.  The key assessments for advanc</w:t>
      </w:r>
      <w:r>
        <w:rPr>
          <w:rFonts w:ascii="Times New Roman" w:hAnsi="Times New Roman" w:cs="Times New Roman"/>
          <w:sz w:val="24"/>
          <w:szCs w:val="24"/>
        </w:rPr>
        <w:t xml:space="preserve">ed programs are as follows: </w:t>
      </w:r>
    </w:p>
    <w:p w:rsidR="00F33A77" w:rsidRDefault="00F33A77" w:rsidP="00F33A77">
      <w:pPr>
        <w:pStyle w:val="ListParagraph"/>
        <w:numPr>
          <w:ilvl w:val="0"/>
          <w:numId w:val="4"/>
        </w:numPr>
        <w:spacing w:after="0" w:line="276" w:lineRule="auto"/>
        <w:rPr>
          <w:rFonts w:ascii="Times New Roman" w:hAnsi="Times New Roman" w:cs="Times New Roman"/>
          <w:sz w:val="24"/>
          <w:szCs w:val="24"/>
        </w:rPr>
      </w:pPr>
      <w:r w:rsidRPr="00F33A77">
        <w:rPr>
          <w:rFonts w:ascii="Times New Roman" w:hAnsi="Times New Roman" w:cs="Times New Roman"/>
          <w:sz w:val="24"/>
          <w:szCs w:val="24"/>
        </w:rPr>
        <w:t>Consultancy Protocol (pilot fall 2016 to complement the ELL Case Study), in which candidates identify, reflect on, and collaboratively investigate a particular classroom-based dilemma in order to think more expansively abo</w:t>
      </w:r>
      <w:r>
        <w:rPr>
          <w:rFonts w:ascii="Times New Roman" w:hAnsi="Times New Roman" w:cs="Times New Roman"/>
          <w:sz w:val="24"/>
          <w:szCs w:val="24"/>
        </w:rPr>
        <w:t xml:space="preserve">ut the dilemma. </w:t>
      </w:r>
    </w:p>
    <w:p w:rsidR="00F33A77" w:rsidRDefault="00F33A77" w:rsidP="00F33A77">
      <w:pPr>
        <w:pStyle w:val="ListParagraph"/>
        <w:numPr>
          <w:ilvl w:val="0"/>
          <w:numId w:val="4"/>
        </w:numPr>
        <w:spacing w:after="0" w:line="276" w:lineRule="auto"/>
        <w:rPr>
          <w:rFonts w:ascii="Times New Roman" w:hAnsi="Times New Roman" w:cs="Times New Roman"/>
          <w:sz w:val="24"/>
          <w:szCs w:val="24"/>
        </w:rPr>
      </w:pPr>
      <w:r w:rsidRPr="00F33A77">
        <w:rPr>
          <w:rFonts w:ascii="Times New Roman" w:hAnsi="Times New Roman" w:cs="Times New Roman"/>
          <w:sz w:val="24"/>
          <w:szCs w:val="24"/>
        </w:rPr>
        <w:t>Learning from Student Work Protocol (pilot summer 2016), in which candidates collect and systematically examine P-12 students’ work samples via collaborative inquiry to better understand students’ cognitive p</w:t>
      </w:r>
      <w:r>
        <w:rPr>
          <w:rFonts w:ascii="Times New Roman" w:hAnsi="Times New Roman" w:cs="Times New Roman"/>
          <w:sz w:val="24"/>
          <w:szCs w:val="24"/>
        </w:rPr>
        <w:t>rocesses.</w:t>
      </w:r>
    </w:p>
    <w:p w:rsidR="00F33A77" w:rsidRDefault="00F33A77" w:rsidP="00F33A77">
      <w:pPr>
        <w:pStyle w:val="ListParagraph"/>
        <w:numPr>
          <w:ilvl w:val="0"/>
          <w:numId w:val="4"/>
        </w:numPr>
        <w:spacing w:after="0" w:line="276" w:lineRule="auto"/>
        <w:rPr>
          <w:rFonts w:ascii="Times New Roman" w:hAnsi="Times New Roman" w:cs="Times New Roman"/>
          <w:sz w:val="24"/>
          <w:szCs w:val="24"/>
        </w:rPr>
      </w:pPr>
      <w:r w:rsidRPr="00F33A77">
        <w:rPr>
          <w:rFonts w:ascii="Times New Roman" w:hAnsi="Times New Roman" w:cs="Times New Roman"/>
          <w:sz w:val="24"/>
          <w:szCs w:val="24"/>
        </w:rPr>
        <w:t>Looking Backwards Looking Forward (LBLF)</w:t>
      </w:r>
      <w:r w:rsidRPr="00F33A77">
        <w:rPr>
          <w:rFonts w:ascii="Times New Roman" w:hAnsi="Times New Roman" w:cs="Times New Roman"/>
          <w:b/>
          <w:sz w:val="24"/>
          <w:szCs w:val="24"/>
        </w:rPr>
        <w:t xml:space="preserve"> </w:t>
      </w:r>
      <w:r w:rsidRPr="00F33A77">
        <w:rPr>
          <w:rFonts w:ascii="Times New Roman" w:hAnsi="Times New Roman" w:cs="Times New Roman"/>
          <w:sz w:val="24"/>
          <w:szCs w:val="24"/>
        </w:rPr>
        <w:t>critical analysis</w:t>
      </w:r>
      <w:r>
        <w:rPr>
          <w:rFonts w:ascii="Times New Roman" w:hAnsi="Times New Roman" w:cs="Times New Roman"/>
          <w:sz w:val="24"/>
          <w:szCs w:val="24"/>
        </w:rPr>
        <w:t xml:space="preserve">.  </w:t>
      </w:r>
      <w:r w:rsidRPr="00F33A77">
        <w:rPr>
          <w:rFonts w:ascii="Times New Roman" w:hAnsi="Times New Roman" w:cs="Times New Roman"/>
          <w:sz w:val="24"/>
          <w:szCs w:val="24"/>
        </w:rPr>
        <w:t xml:space="preserve">For this assignment advanced candidates will be encouraged to construct a professional development plan to inform a capstone portfolio or the forthcoming action research project that focuses on content/discipline area teaching and learning. </w:t>
      </w:r>
    </w:p>
    <w:p w:rsidR="00F33A77" w:rsidRPr="00F33A77" w:rsidRDefault="00F33A77" w:rsidP="00F33A77">
      <w:pPr>
        <w:pStyle w:val="ListParagraph"/>
        <w:numPr>
          <w:ilvl w:val="0"/>
          <w:numId w:val="4"/>
        </w:numPr>
        <w:spacing w:after="0" w:line="276" w:lineRule="auto"/>
        <w:rPr>
          <w:rFonts w:ascii="Times New Roman" w:hAnsi="Times New Roman" w:cs="Times New Roman"/>
          <w:sz w:val="24"/>
          <w:szCs w:val="24"/>
        </w:rPr>
      </w:pPr>
      <w:r w:rsidRPr="00F33A77">
        <w:rPr>
          <w:rFonts w:ascii="Times New Roman" w:hAnsi="Times New Roman" w:cs="Times New Roman"/>
          <w:iCs/>
          <w:sz w:val="24"/>
          <w:szCs w:val="24"/>
        </w:rPr>
        <w:t xml:space="preserve">Action research, as a culminating assessment, </w:t>
      </w:r>
      <w:r w:rsidR="00C14279">
        <w:rPr>
          <w:rFonts w:ascii="Times New Roman" w:hAnsi="Times New Roman" w:cs="Times New Roman"/>
          <w:iCs/>
          <w:sz w:val="24"/>
          <w:szCs w:val="24"/>
        </w:rPr>
        <w:t>has been</w:t>
      </w:r>
      <w:r w:rsidRPr="00F33A77">
        <w:rPr>
          <w:rFonts w:ascii="Times New Roman" w:hAnsi="Times New Roman" w:cs="Times New Roman"/>
          <w:iCs/>
          <w:sz w:val="24"/>
          <w:szCs w:val="24"/>
        </w:rPr>
        <w:t xml:space="preserve"> proposed for advanced candidates. The assessment is designed in alignment with tenets of the National Board for Professional Teaching Standards, with particular focus on propositions 2: (Teachers know the subjects they teacher and how to teacher those subject to students) and 4: (Teachers think systematically about their practice and learn from experience).  This option is integral to the redesign of </w:t>
      </w:r>
      <w:proofErr w:type="spellStart"/>
      <w:r w:rsidRPr="00F33A77">
        <w:rPr>
          <w:rFonts w:ascii="Times New Roman" w:hAnsi="Times New Roman" w:cs="Times New Roman"/>
          <w:iCs/>
          <w:sz w:val="24"/>
          <w:szCs w:val="24"/>
        </w:rPr>
        <w:t>Eastern’s</w:t>
      </w:r>
      <w:proofErr w:type="spellEnd"/>
      <w:r w:rsidRPr="00F33A77">
        <w:rPr>
          <w:rFonts w:ascii="Times New Roman" w:hAnsi="Times New Roman" w:cs="Times New Roman"/>
          <w:iCs/>
          <w:sz w:val="24"/>
          <w:szCs w:val="24"/>
        </w:rPr>
        <w:t xml:space="preserve"> advanced programs (still under development) toward a single advanced master’s program for licensed/experienced teachers. The proposed program is interdisciplinary in nature with a content/discipline area concentration. Candidates may either complete an action research project in their classrooms that focuses on improving teaching and learning within the content/discipline area as a culminating assessment or a capstone portfolio addressing student growth within a single content/discipline area. The proposed, advanced master’s program (interdisciplinary with a content/discipline area concentration) is forthcoming and will replace all existing advanced master’s programs upon approval. </w:t>
      </w:r>
    </w:p>
    <w:p w:rsidR="00F33A77" w:rsidRPr="00F33A77" w:rsidRDefault="00F33A77" w:rsidP="00F33A77">
      <w:pPr>
        <w:jc w:val="center"/>
        <w:rPr>
          <w:b/>
        </w:rPr>
      </w:pPr>
    </w:p>
    <w:sectPr w:rsidR="00F33A77" w:rsidRPr="00F33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31409"/>
    <w:multiLevelType w:val="hybridMultilevel"/>
    <w:tmpl w:val="54A84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E095A"/>
    <w:multiLevelType w:val="hybridMultilevel"/>
    <w:tmpl w:val="FF621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CD2885"/>
    <w:multiLevelType w:val="hybridMultilevel"/>
    <w:tmpl w:val="5DA2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506F3"/>
    <w:multiLevelType w:val="hybridMultilevel"/>
    <w:tmpl w:val="54A84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77"/>
    <w:rsid w:val="006B3ED8"/>
    <w:rsid w:val="00C14279"/>
    <w:rsid w:val="00F3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55058-4C13-40AC-9742-72321F25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Swaminathan, Sudha (Education)</dc:creator>
  <cp:keywords/>
  <dc:description/>
  <cp:lastModifiedBy>Swaminathan, Sudha (Education)</cp:lastModifiedBy>
  <cp:revision>1</cp:revision>
  <dcterms:created xsi:type="dcterms:W3CDTF">2016-07-15T16:39:00Z</dcterms:created>
  <dcterms:modified xsi:type="dcterms:W3CDTF">2016-07-15T16:51:00Z</dcterms:modified>
</cp:coreProperties>
</file>