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B1" w:rsidRDefault="009B1BB1" w:rsidP="009B1BB1">
      <w:pPr>
        <w:spacing w:after="0"/>
      </w:pPr>
      <w:bookmarkStart w:id="0" w:name="_GoBack"/>
      <w:bookmarkEnd w:id="0"/>
    </w:p>
    <w:p w:rsidR="00C87771" w:rsidRDefault="00C87771" w:rsidP="009B1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 and Professional Studies</w:t>
      </w:r>
    </w:p>
    <w:p w:rsidR="00C87771" w:rsidRDefault="00C87771" w:rsidP="009B1B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Superintendents’ Meeting with Dean Easley</w:t>
      </w:r>
    </w:p>
    <w:p w:rsidR="00C87771" w:rsidRDefault="00C87771" w:rsidP="009B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October 31, 2016 &amp; Wednesday, November 2, 2016</w:t>
      </w:r>
    </w:p>
    <w:p w:rsidR="00C87771" w:rsidRDefault="00C87771" w:rsidP="009B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9:30A-11:00A - Webb Hall Rm. 159</w:t>
      </w:r>
    </w:p>
    <w:p w:rsidR="00C1161C" w:rsidRDefault="00C1161C" w:rsidP="00C87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771" w:rsidRDefault="00C1161C" w:rsidP="00C87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</w:t>
      </w:r>
    </w:p>
    <w:p w:rsidR="00C87771" w:rsidRDefault="00C87771" w:rsidP="00C87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9:30 am. </w:t>
      </w:r>
    </w:p>
    <w:p w:rsidR="00C87771" w:rsidRDefault="00C87771" w:rsidP="00C87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771" w:rsidRDefault="00C87771" w:rsidP="00C87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Attendees: Dr. Sally Doyen, Andover; Dr. Patricia Garcia, Windham; David Petrone, Coventry; Brian Reas, East Haddam; Timothy Van Tasel, Hebron. </w:t>
      </w:r>
    </w:p>
    <w:p w:rsidR="00C87771" w:rsidRDefault="00C87771" w:rsidP="00C87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C87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Overview of Education Unit</w:t>
      </w:r>
    </w:p>
    <w:p w:rsidR="00821A8A" w:rsidRPr="00C1161C" w:rsidRDefault="00821A8A" w:rsidP="00935DB7">
      <w:pPr>
        <w:ind w:left="720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Dean Easley gave an overview of the Education Unit at Eastern, outlining the new CARE requirements and new CORE portfolio assessments</w:t>
      </w:r>
    </w:p>
    <w:p w:rsidR="00821A8A" w:rsidRPr="00C1161C" w:rsidRDefault="00821A8A" w:rsidP="00935DB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50 service hours, including experience working with diverse communities for fall 2017 first time pre-education students pursuing CARE admission</w:t>
      </w:r>
    </w:p>
    <w:p w:rsidR="00821A8A" w:rsidRPr="00C1161C" w:rsidRDefault="00935DB7" w:rsidP="00935DB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CORE Portfolios for each clinical placement with developmentally appropriate assignments; CORE I currently being piloted across all programs; CORE II in development for spring 2017 pilot implementation</w:t>
      </w:r>
    </w:p>
    <w:p w:rsidR="00935DB7" w:rsidRPr="00C1161C" w:rsidRDefault="00935DB7" w:rsidP="00935DB7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61C">
        <w:rPr>
          <w:rFonts w:ascii="Times New Roman" w:hAnsi="Times New Roman"/>
          <w:b/>
          <w:sz w:val="24"/>
          <w:szCs w:val="24"/>
        </w:rPr>
        <w:t>Recommendations:</w:t>
      </w:r>
    </w:p>
    <w:p w:rsidR="00821A8A" w:rsidRPr="00C1161C" w:rsidRDefault="00935DB7" w:rsidP="00935DB7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Provide mechanism to assist host teacher</w:t>
      </w:r>
      <w:r w:rsidR="00F91ECE">
        <w:rPr>
          <w:rFonts w:ascii="Times New Roman" w:hAnsi="Times New Roman"/>
          <w:sz w:val="24"/>
          <w:szCs w:val="24"/>
        </w:rPr>
        <w:t>s</w:t>
      </w:r>
      <w:r w:rsidRPr="00C1161C">
        <w:rPr>
          <w:rFonts w:ascii="Times New Roman" w:hAnsi="Times New Roman"/>
          <w:sz w:val="24"/>
          <w:szCs w:val="24"/>
        </w:rPr>
        <w:t xml:space="preserve"> in the implementation of assessments. District teachers would like more clarity on the expectations for clinical experiences.</w:t>
      </w:r>
      <w:r w:rsidR="001374F6" w:rsidRPr="00C1161C">
        <w:rPr>
          <w:rFonts w:ascii="Times New Roman" w:hAnsi="Times New Roman"/>
          <w:sz w:val="24"/>
          <w:szCs w:val="24"/>
        </w:rPr>
        <w:t xml:space="preserve"> District teachers will need training for the implementation of the new assessments</w:t>
      </w:r>
    </w:p>
    <w:p w:rsidR="001374F6" w:rsidRPr="00C1161C" w:rsidRDefault="001374F6" w:rsidP="00935DB7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Ensure clear procedures and guidelines for the placements of candidat</w:t>
      </w:r>
      <w:r w:rsidR="00F91ECE">
        <w:rPr>
          <w:rFonts w:ascii="Times New Roman" w:hAnsi="Times New Roman"/>
          <w:sz w:val="24"/>
          <w:szCs w:val="24"/>
        </w:rPr>
        <w:t>es. One superintendent cited an</w:t>
      </w:r>
      <w:r w:rsidRPr="00C1161C">
        <w:rPr>
          <w:rFonts w:ascii="Times New Roman" w:hAnsi="Times New Roman"/>
          <w:sz w:val="24"/>
          <w:szCs w:val="24"/>
        </w:rPr>
        <w:t xml:space="preserve"> incident for a placement with a less desirable host teacher. Afterwards, the placement was changed and </w:t>
      </w:r>
      <w:r w:rsidR="0008119C" w:rsidRPr="00C1161C">
        <w:rPr>
          <w:rFonts w:ascii="Times New Roman" w:hAnsi="Times New Roman"/>
          <w:sz w:val="24"/>
          <w:szCs w:val="24"/>
        </w:rPr>
        <w:t>encouraged a focus on quality placements coordinated via established producers and guidelines.</w:t>
      </w:r>
      <w:r w:rsidRPr="00C1161C">
        <w:rPr>
          <w:rFonts w:ascii="Times New Roman" w:hAnsi="Times New Roman"/>
          <w:sz w:val="24"/>
          <w:szCs w:val="24"/>
        </w:rPr>
        <w:t xml:space="preserve"> </w:t>
      </w:r>
    </w:p>
    <w:p w:rsidR="0008119C" w:rsidRPr="00C1161C" w:rsidRDefault="0008119C" w:rsidP="00935DB7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Consider amassing a cadre of P-12 teachers with certain skills that are required to support the program. Perhaps this could be done through a professional development academy. Consider the benefits that would incentivize P-12 teacher participants.</w:t>
      </w:r>
    </w:p>
    <w:p w:rsidR="00621CB1" w:rsidRPr="00C1161C" w:rsidRDefault="00621CB1" w:rsidP="00935DB7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For the CORE III portfolio, district teachers will require professional development for participating in and supervising co-teaching.</w:t>
      </w:r>
    </w:p>
    <w:p w:rsidR="00935DB7" w:rsidRPr="00C1161C" w:rsidRDefault="00935DB7" w:rsidP="00935DB7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1374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National Accreditation—National Council for the Accreditation of Teacher Education (NCATE), Site visit November 12-15, 2016</w:t>
      </w:r>
    </w:p>
    <w:p w:rsidR="001374F6" w:rsidRPr="00C1161C" w:rsidRDefault="001374F6" w:rsidP="001374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35DB7" w:rsidRPr="00C1161C" w:rsidRDefault="00935DB7" w:rsidP="001374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Dean Easley explained the history of NCATE visit from 2014, the</w:t>
      </w:r>
      <w:r w:rsidR="001374F6" w:rsidRPr="00C1161C">
        <w:rPr>
          <w:rFonts w:ascii="Times New Roman" w:hAnsi="Times New Roman"/>
          <w:sz w:val="24"/>
          <w:szCs w:val="24"/>
        </w:rPr>
        <w:t xml:space="preserve"> pre-visit for the </w:t>
      </w:r>
      <w:r w:rsidRPr="00C1161C">
        <w:rPr>
          <w:rFonts w:ascii="Times New Roman" w:hAnsi="Times New Roman"/>
          <w:sz w:val="24"/>
          <w:szCs w:val="24"/>
        </w:rPr>
        <w:t>2016</w:t>
      </w:r>
      <w:r w:rsidR="001374F6" w:rsidRPr="00C1161C">
        <w:rPr>
          <w:rFonts w:ascii="Times New Roman" w:hAnsi="Times New Roman"/>
          <w:sz w:val="24"/>
          <w:szCs w:val="24"/>
        </w:rPr>
        <w:t xml:space="preserve"> </w:t>
      </w:r>
      <w:r w:rsidRPr="00C1161C">
        <w:rPr>
          <w:rFonts w:ascii="Times New Roman" w:hAnsi="Times New Roman"/>
          <w:sz w:val="24"/>
          <w:szCs w:val="24"/>
        </w:rPr>
        <w:t xml:space="preserve">visit, and the overview for the fall 2016 visit. </w:t>
      </w:r>
      <w:r w:rsidR="001374F6" w:rsidRPr="00C1161C">
        <w:rPr>
          <w:rFonts w:ascii="Times New Roman" w:hAnsi="Times New Roman"/>
          <w:sz w:val="24"/>
          <w:szCs w:val="24"/>
        </w:rPr>
        <w:t xml:space="preserve">He shared this perspective that positive </w:t>
      </w:r>
      <w:r w:rsidR="001374F6" w:rsidRPr="00C1161C">
        <w:rPr>
          <w:rFonts w:ascii="Times New Roman" w:hAnsi="Times New Roman"/>
          <w:sz w:val="24"/>
          <w:szCs w:val="24"/>
        </w:rPr>
        <w:lastRenderedPageBreak/>
        <w:t xml:space="preserve">outcomes are expected and invited district superintendents to meet with the visiting team on 13 November 2016. Participation is voluntary. </w:t>
      </w:r>
    </w:p>
    <w:p w:rsidR="001374F6" w:rsidRPr="00C1161C" w:rsidRDefault="001374F6" w:rsidP="001374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374F6" w:rsidRPr="00C1161C" w:rsidRDefault="001374F6" w:rsidP="001374F6">
      <w:pPr>
        <w:ind w:left="720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An itinerary of the NCATE visit was shared with attendees.</w:t>
      </w:r>
    </w:p>
    <w:p w:rsidR="001374F6" w:rsidRPr="00C1161C" w:rsidRDefault="001374F6" w:rsidP="001374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Accreditation transition—Council for the Accreditation of Educator Preparation (CAEP)</w:t>
      </w:r>
    </w:p>
    <w:p w:rsidR="001374F6" w:rsidRPr="00C1161C" w:rsidRDefault="001374F6" w:rsidP="001374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The Dean outlined the transition to CAEP immediately following the fall 2016 NCATE visit. He shared one distinguishing element of CAEP for which district assistance is needed. Standard 2 articulates the expectations for partnerships between districts and educator preparation programs, as outlined below:</w:t>
      </w:r>
    </w:p>
    <w:p w:rsidR="001374F6" w:rsidRPr="00C1161C" w:rsidRDefault="001374F6" w:rsidP="001374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 xml:space="preserve">Standard 2. </w:t>
      </w:r>
      <w:hyperlink r:id="rId8" w:history="1">
        <w:r w:rsidRPr="00C1161C">
          <w:rPr>
            <w:rStyle w:val="Hyperlink"/>
            <w:rFonts w:ascii="Times New Roman" w:hAnsi="Times New Roman"/>
            <w:sz w:val="24"/>
            <w:szCs w:val="24"/>
          </w:rPr>
          <w:t>Partnerships for Clinical Practice</w:t>
        </w:r>
      </w:hyperlink>
      <w:r w:rsidRPr="00C1161C">
        <w:rPr>
          <w:rFonts w:ascii="Times New Roman" w:hAnsi="Times New Roman"/>
          <w:sz w:val="24"/>
          <w:szCs w:val="24"/>
        </w:rPr>
        <w:t xml:space="preserve"> </w:t>
      </w:r>
    </w:p>
    <w:p w:rsidR="00821A8A" w:rsidRPr="00C1161C" w:rsidRDefault="00821A8A" w:rsidP="00821A8A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2.1 Partners co-construct mutually beneficial P-12 school and community arrangements, . . . .</w:t>
      </w:r>
    </w:p>
    <w:p w:rsidR="00821A8A" w:rsidRPr="00C1161C" w:rsidRDefault="00821A8A" w:rsidP="00821A8A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2.2 Partners co-select, prepare, evaluate, support, and retain high-quality clinical educators, . . . who demonstrate positive impact on candidate’s development and P-12 students’ learning and development.</w:t>
      </w:r>
    </w:p>
    <w:p w:rsidR="00821A8A" w:rsidRPr="00C1161C" w:rsidRDefault="00821A8A" w:rsidP="00821A8A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 xml:space="preserve">2.3. The provider work with partners to design clinical experiences . . . . </w:t>
      </w:r>
    </w:p>
    <w:p w:rsidR="00821A8A" w:rsidRPr="00C1161C" w:rsidRDefault="00821A8A" w:rsidP="00821A8A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Partnership and collaboration opportunities</w:t>
      </w:r>
    </w:p>
    <w:p w:rsidR="00821A8A" w:rsidRPr="00C1161C" w:rsidRDefault="00821A8A" w:rsidP="00821A8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How can Eastern further meet the district’s needs via programming?</w:t>
      </w:r>
    </w:p>
    <w:p w:rsidR="0008119C" w:rsidRPr="00C1161C" w:rsidRDefault="0008119C" w:rsidP="0008119C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61C">
        <w:rPr>
          <w:rFonts w:ascii="Times New Roman" w:hAnsi="Times New Roman"/>
          <w:b/>
          <w:sz w:val="24"/>
          <w:szCs w:val="24"/>
        </w:rPr>
        <w:t>Recommendations:</w:t>
      </w:r>
    </w:p>
    <w:p w:rsidR="0008119C" w:rsidRPr="00C1161C" w:rsidRDefault="0008119C" w:rsidP="0008119C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Data literacy is important</w:t>
      </w:r>
      <w:r w:rsidR="00F91ECE">
        <w:rPr>
          <w:rFonts w:ascii="Times New Roman" w:hAnsi="Times New Roman"/>
          <w:sz w:val="24"/>
          <w:szCs w:val="24"/>
        </w:rPr>
        <w:t xml:space="preserve"> for school districts. Assist in this regard.</w:t>
      </w:r>
    </w:p>
    <w:p w:rsidR="0008119C" w:rsidRPr="00C1161C" w:rsidRDefault="0008119C" w:rsidP="0008119C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Consider amassing a cadre of P-12 teachers with certain skills that are required to support the program. Perhaps this could be done through a professional development academy. Consider the benefits that would incentivize P-12 teacher</w:t>
      </w:r>
      <w:r w:rsidR="00F91ECE">
        <w:rPr>
          <w:rFonts w:ascii="Times New Roman" w:hAnsi="Times New Roman"/>
          <w:sz w:val="24"/>
          <w:szCs w:val="24"/>
        </w:rPr>
        <w:t>s</w:t>
      </w:r>
      <w:r w:rsidRPr="00C1161C">
        <w:rPr>
          <w:rFonts w:ascii="Times New Roman" w:hAnsi="Times New Roman"/>
          <w:sz w:val="24"/>
          <w:szCs w:val="24"/>
        </w:rPr>
        <w:t xml:space="preserve"> </w:t>
      </w:r>
      <w:r w:rsidR="00F91ECE">
        <w:rPr>
          <w:rFonts w:ascii="Times New Roman" w:hAnsi="Times New Roman"/>
          <w:sz w:val="24"/>
          <w:szCs w:val="24"/>
        </w:rPr>
        <w:t>participation</w:t>
      </w:r>
      <w:r w:rsidRPr="00C1161C">
        <w:rPr>
          <w:rFonts w:ascii="Times New Roman" w:hAnsi="Times New Roman"/>
          <w:sz w:val="24"/>
          <w:szCs w:val="24"/>
        </w:rPr>
        <w:t>.</w:t>
      </w:r>
    </w:p>
    <w:p w:rsidR="0008119C" w:rsidRPr="00C1161C" w:rsidRDefault="0008119C" w:rsidP="0008119C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Create a host teacher selection process that is known to all relevant parties.</w:t>
      </w:r>
      <w:r w:rsidR="00621CB1" w:rsidRPr="00C1161C">
        <w:rPr>
          <w:rFonts w:ascii="Times New Roman" w:hAnsi="Times New Roman"/>
          <w:sz w:val="24"/>
          <w:szCs w:val="24"/>
        </w:rPr>
        <w:t xml:space="preserve"> Take a look at the success rate for TEAM as a guide for criteria and or the identification of potential host teachers.</w:t>
      </w:r>
    </w:p>
    <w:p w:rsidR="0008119C" w:rsidRPr="00C1161C" w:rsidRDefault="00F91ECE" w:rsidP="0008119C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P-12 t</w:t>
      </w:r>
      <w:r w:rsidR="0008119C" w:rsidRPr="00C1161C">
        <w:rPr>
          <w:rFonts w:ascii="Times New Roman" w:hAnsi="Times New Roman"/>
          <w:sz w:val="24"/>
          <w:szCs w:val="24"/>
        </w:rPr>
        <w:t>eachers are required to develop their own learning goals, perhaps their contribution to the development of future teachers can be included in these goals.</w:t>
      </w:r>
    </w:p>
    <w:p w:rsidR="00621CB1" w:rsidRPr="00C1161C" w:rsidRDefault="00621CB1" w:rsidP="0008119C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Assist districts will the development of future teachers who have appropriate skills for classroom management</w:t>
      </w:r>
      <w:r w:rsidR="00F91ECE">
        <w:rPr>
          <w:rFonts w:ascii="Times New Roman" w:hAnsi="Times New Roman"/>
          <w:sz w:val="24"/>
          <w:szCs w:val="24"/>
        </w:rPr>
        <w:t>.</w:t>
      </w:r>
    </w:p>
    <w:p w:rsidR="00621CB1" w:rsidRPr="00C1161C" w:rsidRDefault="00621CB1" w:rsidP="00621CB1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Help future teachers to understand and embrace school and district-level vision.</w:t>
      </w:r>
    </w:p>
    <w:p w:rsidR="00621CB1" w:rsidRPr="00C1161C" w:rsidRDefault="00621CB1" w:rsidP="00621CB1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Ensure that graduates have a growth mindset and are innovative. One district explained that several teachers recently hired (which included Eastern alumni) are traditional (e.g., 1980s approaches to teaching).</w:t>
      </w:r>
    </w:p>
    <w:p w:rsidR="00861C19" w:rsidRPr="00C1161C" w:rsidRDefault="00861C19" w:rsidP="00621CB1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Districts are interested in partnership programs like that with Coventry for the year-long, residency based internship</w:t>
      </w:r>
    </w:p>
    <w:p w:rsidR="0008119C" w:rsidRPr="00C1161C" w:rsidRDefault="00861C19" w:rsidP="00861C19">
      <w:pPr>
        <w:numPr>
          <w:ilvl w:val="4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Many districts are struggling to find qualified substitute teachers.</w:t>
      </w:r>
    </w:p>
    <w:p w:rsidR="0008119C" w:rsidRPr="00C1161C" w:rsidRDefault="0008119C" w:rsidP="0008119C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Assessing the Impact of Eastern’s Education Preparation Program</w:t>
      </w:r>
      <w:r w:rsidR="00621CB1" w:rsidRPr="00C1161C">
        <w:rPr>
          <w:rFonts w:ascii="Times New Roman" w:hAnsi="Times New Roman"/>
          <w:sz w:val="24"/>
          <w:szCs w:val="24"/>
        </w:rPr>
        <w:t xml:space="preserve"> </w:t>
      </w:r>
    </w:p>
    <w:p w:rsidR="00821A8A" w:rsidRPr="00C1161C" w:rsidRDefault="00821A8A" w:rsidP="00821A8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Employer Survey</w:t>
      </w:r>
      <w:r w:rsidR="00861C19" w:rsidRPr="00C1161C">
        <w:rPr>
          <w:rFonts w:ascii="Times New Roman" w:hAnsi="Times New Roman"/>
          <w:sz w:val="24"/>
          <w:szCs w:val="24"/>
        </w:rPr>
        <w:t xml:space="preserve"> (not addressed)</w:t>
      </w:r>
    </w:p>
    <w:p w:rsidR="00821A8A" w:rsidRPr="00C1161C" w:rsidRDefault="00821A8A" w:rsidP="00821A8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How might we work collaboratively to assess alumni in your employ and their impact on P-12 student learning and development to inform continuous improvement?</w:t>
      </w:r>
    </w:p>
    <w:p w:rsidR="00621CB1" w:rsidRPr="00C1161C" w:rsidRDefault="00621CB1" w:rsidP="00621CB1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61C">
        <w:rPr>
          <w:rFonts w:ascii="Times New Roman" w:hAnsi="Times New Roman"/>
          <w:b/>
          <w:sz w:val="24"/>
          <w:szCs w:val="24"/>
        </w:rPr>
        <w:t>Recommendations:</w:t>
      </w:r>
    </w:p>
    <w:p w:rsidR="00621CB1" w:rsidRPr="00C1161C" w:rsidRDefault="00621CB1" w:rsidP="00621CB1">
      <w:pPr>
        <w:numPr>
          <w:ilvl w:val="3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Further alumni relations through programing to support</w:t>
      </w:r>
      <w:r w:rsidR="00F91ECE">
        <w:rPr>
          <w:rFonts w:ascii="Times New Roman" w:hAnsi="Times New Roman"/>
          <w:sz w:val="24"/>
          <w:szCs w:val="24"/>
        </w:rPr>
        <w:t>s</w:t>
      </w:r>
      <w:r w:rsidRPr="00C1161C">
        <w:rPr>
          <w:rFonts w:ascii="Times New Roman" w:hAnsi="Times New Roman"/>
          <w:sz w:val="24"/>
          <w:szCs w:val="24"/>
        </w:rPr>
        <w:t xml:space="preserve"> graduate</w:t>
      </w:r>
      <w:r w:rsidR="00F91ECE">
        <w:rPr>
          <w:rFonts w:ascii="Times New Roman" w:hAnsi="Times New Roman"/>
          <w:sz w:val="24"/>
          <w:szCs w:val="24"/>
        </w:rPr>
        <w:t>s</w:t>
      </w:r>
      <w:r w:rsidRPr="00C1161C">
        <w:rPr>
          <w:rFonts w:ascii="Times New Roman" w:hAnsi="Times New Roman"/>
          <w:sz w:val="24"/>
          <w:szCs w:val="24"/>
        </w:rPr>
        <w:t xml:space="preserve"> hired by district. Consider how to attract them back to campus.</w:t>
      </w:r>
    </w:p>
    <w:p w:rsidR="00821A8A" w:rsidRPr="00C1161C" w:rsidRDefault="00821A8A" w:rsidP="00861C19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District updates that may impact educator preparation</w:t>
      </w:r>
      <w:r w:rsidR="00861C19" w:rsidRPr="00C1161C">
        <w:rPr>
          <w:rFonts w:ascii="Times New Roman" w:hAnsi="Times New Roman"/>
          <w:sz w:val="24"/>
          <w:szCs w:val="24"/>
        </w:rPr>
        <w:t xml:space="preserve"> (not addressed)</w:t>
      </w:r>
    </w:p>
    <w:p w:rsidR="00821A8A" w:rsidRPr="00C1161C" w:rsidRDefault="00821A8A" w:rsidP="00861C19">
      <w:pPr>
        <w:rPr>
          <w:rFonts w:ascii="Times New Roman" w:hAnsi="Times New Roman"/>
          <w:sz w:val="24"/>
          <w:szCs w:val="24"/>
        </w:rPr>
      </w:pPr>
    </w:p>
    <w:p w:rsidR="00821A8A" w:rsidRPr="00C1161C" w:rsidRDefault="00821A8A" w:rsidP="00821A8A">
      <w:pPr>
        <w:rPr>
          <w:rFonts w:ascii="Times New Roman" w:hAnsi="Times New Roman"/>
          <w:sz w:val="24"/>
          <w:szCs w:val="24"/>
        </w:rPr>
      </w:pPr>
    </w:p>
    <w:p w:rsidR="00854531" w:rsidRPr="00C1161C" w:rsidRDefault="00854531" w:rsidP="00684BDC">
      <w:pPr>
        <w:rPr>
          <w:rFonts w:ascii="Times New Roman" w:hAnsi="Times New Roman"/>
          <w:sz w:val="24"/>
          <w:szCs w:val="24"/>
        </w:rPr>
      </w:pPr>
      <w:r w:rsidRPr="00C1161C">
        <w:rPr>
          <w:rFonts w:ascii="Times New Roman" w:hAnsi="Times New Roman"/>
          <w:sz w:val="24"/>
          <w:szCs w:val="24"/>
        </w:rPr>
        <w:t>Respectfully submitted by Catherine Dubuc</w:t>
      </w:r>
    </w:p>
    <w:sectPr w:rsidR="00854531" w:rsidRPr="00C1161C" w:rsidSect="0085453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E8" w:rsidRDefault="00F67AE8" w:rsidP="003B1627">
      <w:pPr>
        <w:spacing w:after="0" w:line="240" w:lineRule="auto"/>
      </w:pPr>
      <w:r>
        <w:separator/>
      </w:r>
    </w:p>
  </w:endnote>
  <w:endnote w:type="continuationSeparator" w:id="0">
    <w:p w:rsidR="00F67AE8" w:rsidRDefault="00F67AE8" w:rsidP="003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B1" w:rsidRDefault="00621CB1" w:rsidP="003B1627">
    <w:pPr>
      <w:pStyle w:val="Footer"/>
      <w:jc w:val="center"/>
    </w:pPr>
  </w:p>
  <w:p w:rsidR="00621CB1" w:rsidRDefault="00621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B1" w:rsidRDefault="004E3016" w:rsidP="00AF1FA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-46990</wp:posOffset>
          </wp:positionV>
          <wp:extent cx="3395345" cy="328930"/>
          <wp:effectExtent l="0" t="0" r="0" b="0"/>
          <wp:wrapTight wrapText="bothSides">
            <wp:wrapPolygon edited="0">
              <wp:start x="0" y="0"/>
              <wp:lineTo x="0" y="20015"/>
              <wp:lineTo x="21451" y="20015"/>
              <wp:lineTo x="21451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E8" w:rsidRDefault="00F67AE8" w:rsidP="003B1627">
      <w:pPr>
        <w:spacing w:after="0" w:line="240" w:lineRule="auto"/>
      </w:pPr>
      <w:r>
        <w:separator/>
      </w:r>
    </w:p>
  </w:footnote>
  <w:footnote w:type="continuationSeparator" w:id="0">
    <w:p w:rsidR="00F67AE8" w:rsidRDefault="00F67AE8" w:rsidP="003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B1" w:rsidRDefault="00621CB1" w:rsidP="003B1627">
    <w:pPr>
      <w:pStyle w:val="Header"/>
      <w:jc w:val="center"/>
    </w:pPr>
  </w:p>
  <w:p w:rsidR="00621CB1" w:rsidRDefault="00621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B1" w:rsidRDefault="004E3016" w:rsidP="00AF1FAA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-142875</wp:posOffset>
          </wp:positionV>
          <wp:extent cx="3395345" cy="1206500"/>
          <wp:effectExtent l="0" t="0" r="0" b="0"/>
          <wp:wrapTight wrapText="bothSides">
            <wp:wrapPolygon edited="0">
              <wp:start x="0" y="0"/>
              <wp:lineTo x="0" y="21145"/>
              <wp:lineTo x="21451" y="21145"/>
              <wp:lineTo x="21451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7C0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55EDA"/>
    <w:multiLevelType w:val="hybridMultilevel"/>
    <w:tmpl w:val="7756AB30"/>
    <w:lvl w:ilvl="0" w:tplc="98706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01F4"/>
    <w:multiLevelType w:val="hybridMultilevel"/>
    <w:tmpl w:val="2234A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4FFB"/>
    <w:multiLevelType w:val="hybridMultilevel"/>
    <w:tmpl w:val="16D0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B7427"/>
    <w:multiLevelType w:val="hybridMultilevel"/>
    <w:tmpl w:val="7AB4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7020A"/>
    <w:multiLevelType w:val="hybridMultilevel"/>
    <w:tmpl w:val="7844558A"/>
    <w:lvl w:ilvl="0" w:tplc="377E5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2F4A"/>
    <w:multiLevelType w:val="hybridMultilevel"/>
    <w:tmpl w:val="489CE23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0136A3"/>
    <w:rsid w:val="00053F92"/>
    <w:rsid w:val="0008119C"/>
    <w:rsid w:val="000945E4"/>
    <w:rsid w:val="000A063F"/>
    <w:rsid w:val="000A722E"/>
    <w:rsid w:val="00117EE8"/>
    <w:rsid w:val="001374F6"/>
    <w:rsid w:val="00171668"/>
    <w:rsid w:val="001C349F"/>
    <w:rsid w:val="00213556"/>
    <w:rsid w:val="002566B7"/>
    <w:rsid w:val="002577DF"/>
    <w:rsid w:val="002C3967"/>
    <w:rsid w:val="003A6377"/>
    <w:rsid w:val="003B1627"/>
    <w:rsid w:val="003B2096"/>
    <w:rsid w:val="003B6479"/>
    <w:rsid w:val="003C758B"/>
    <w:rsid w:val="00416996"/>
    <w:rsid w:val="004803A3"/>
    <w:rsid w:val="004A0480"/>
    <w:rsid w:val="004E3016"/>
    <w:rsid w:val="00563021"/>
    <w:rsid w:val="00574CC7"/>
    <w:rsid w:val="00594959"/>
    <w:rsid w:val="00621CB1"/>
    <w:rsid w:val="00641D88"/>
    <w:rsid w:val="00656369"/>
    <w:rsid w:val="00684BDC"/>
    <w:rsid w:val="00685544"/>
    <w:rsid w:val="006C5E0C"/>
    <w:rsid w:val="007064A9"/>
    <w:rsid w:val="00721415"/>
    <w:rsid w:val="00821A8A"/>
    <w:rsid w:val="00847826"/>
    <w:rsid w:val="00854531"/>
    <w:rsid w:val="008576D1"/>
    <w:rsid w:val="00861C19"/>
    <w:rsid w:val="008B7D70"/>
    <w:rsid w:val="008F7B4D"/>
    <w:rsid w:val="00916B32"/>
    <w:rsid w:val="00935DB7"/>
    <w:rsid w:val="00952E49"/>
    <w:rsid w:val="009B1BB1"/>
    <w:rsid w:val="009F3743"/>
    <w:rsid w:val="00AF1FAA"/>
    <w:rsid w:val="00B165E8"/>
    <w:rsid w:val="00B21F5E"/>
    <w:rsid w:val="00B331B1"/>
    <w:rsid w:val="00B44C0E"/>
    <w:rsid w:val="00B624FA"/>
    <w:rsid w:val="00B9522D"/>
    <w:rsid w:val="00BE131B"/>
    <w:rsid w:val="00BE1851"/>
    <w:rsid w:val="00C00646"/>
    <w:rsid w:val="00C1161C"/>
    <w:rsid w:val="00C87771"/>
    <w:rsid w:val="00CA1A73"/>
    <w:rsid w:val="00CB4D26"/>
    <w:rsid w:val="00D02A8C"/>
    <w:rsid w:val="00D20489"/>
    <w:rsid w:val="00D80D80"/>
    <w:rsid w:val="00E12CA6"/>
    <w:rsid w:val="00E52D0B"/>
    <w:rsid w:val="00E928AA"/>
    <w:rsid w:val="00EA3053"/>
    <w:rsid w:val="00F24224"/>
    <w:rsid w:val="00F63DFF"/>
    <w:rsid w:val="00F67AE8"/>
    <w:rsid w:val="00F85EC5"/>
    <w:rsid w:val="00F91ECE"/>
    <w:rsid w:val="00FA710B"/>
    <w:rsid w:val="00FC4ADA"/>
    <w:rsid w:val="00FD70AA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0C24C6-8249-4A44-B4F2-EDF4F489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27"/>
  </w:style>
  <w:style w:type="paragraph" w:styleId="Footer">
    <w:name w:val="footer"/>
    <w:basedOn w:val="Normal"/>
    <w:link w:val="Foot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27"/>
  </w:style>
  <w:style w:type="character" w:styleId="Hyperlink">
    <w:name w:val="Hyperlink"/>
    <w:uiPriority w:val="99"/>
    <w:unhideWhenUsed/>
    <w:rsid w:val="00C00646"/>
    <w:rPr>
      <w:color w:val="0563C1"/>
      <w:u w:val="single"/>
    </w:rPr>
  </w:style>
  <w:style w:type="paragraph" w:styleId="ColorfulList-Accent1">
    <w:name w:val="Colorful List Accent 1"/>
    <w:basedOn w:val="Normal"/>
    <w:uiPriority w:val="34"/>
    <w:qFormat/>
    <w:rsid w:val="00D02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pnet.org/standards/introdu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EC3FA-872C-48AC-B3D4-4BDA3A38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5124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http://www.caepnet.org/standards/introduction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Beverly  (University Relations)</dc:creator>
  <cp:keywords/>
  <cp:lastModifiedBy>Swaminathan, Sudha (Education)</cp:lastModifiedBy>
  <cp:revision>2</cp:revision>
  <cp:lastPrinted>2016-11-14T00:00:00Z</cp:lastPrinted>
  <dcterms:created xsi:type="dcterms:W3CDTF">2016-11-14T00:17:00Z</dcterms:created>
  <dcterms:modified xsi:type="dcterms:W3CDTF">2016-11-14T00:17:00Z</dcterms:modified>
</cp:coreProperties>
</file>