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FD42C" w14:textId="5E12021E" w:rsidR="0062784D" w:rsidRPr="00CF6F7B" w:rsidRDefault="005A0141" w:rsidP="00993BC5">
      <w:pPr>
        <w:pStyle w:val="Heading1"/>
        <w:spacing w:before="120" w:after="120"/>
        <w:jc w:val="center"/>
        <w:rPr>
          <w:sz w:val="24"/>
          <w:szCs w:val="24"/>
        </w:rPr>
      </w:pPr>
      <w:bookmarkStart w:id="0" w:name="_GoBack"/>
      <w:bookmarkEnd w:id="0"/>
      <w:r w:rsidRPr="00CF6F7B">
        <w:rPr>
          <w:sz w:val="24"/>
          <w:szCs w:val="24"/>
        </w:rPr>
        <w:t>Eastern Connecticut State University</w:t>
      </w:r>
      <w:r w:rsidR="00993BC5" w:rsidRPr="00CF6F7B">
        <w:rPr>
          <w:sz w:val="24"/>
          <w:szCs w:val="24"/>
        </w:rPr>
        <w:t xml:space="preserve"> </w:t>
      </w:r>
    </w:p>
    <w:p w14:paraId="200B9226" w14:textId="162D53B8" w:rsidR="001C7FD7" w:rsidRPr="00CF6F7B" w:rsidRDefault="001C7FD7" w:rsidP="00993BC5">
      <w:pPr>
        <w:spacing w:before="120" w:after="120"/>
        <w:jc w:val="center"/>
        <w:rPr>
          <w:b/>
          <w:sz w:val="24"/>
          <w:szCs w:val="24"/>
        </w:rPr>
      </w:pPr>
      <w:r w:rsidRPr="00CF6F7B">
        <w:rPr>
          <w:b/>
          <w:sz w:val="24"/>
          <w:szCs w:val="24"/>
        </w:rPr>
        <w:t xml:space="preserve">Rejoinder to </w:t>
      </w:r>
      <w:r w:rsidR="00993BC5" w:rsidRPr="00CF6F7B">
        <w:rPr>
          <w:b/>
          <w:sz w:val="24"/>
          <w:szCs w:val="24"/>
        </w:rPr>
        <w:t>NCATE Board of Examiners</w:t>
      </w:r>
      <w:r w:rsidRPr="00CF6F7B">
        <w:rPr>
          <w:b/>
          <w:sz w:val="24"/>
          <w:szCs w:val="24"/>
        </w:rPr>
        <w:t xml:space="preserve"> Report</w:t>
      </w:r>
      <w:r w:rsidR="00537793" w:rsidRPr="00CF6F7B">
        <w:rPr>
          <w:b/>
          <w:sz w:val="24"/>
          <w:szCs w:val="24"/>
        </w:rPr>
        <w:t xml:space="preserve"> for Continuous Improvement Pathway</w:t>
      </w:r>
    </w:p>
    <w:p w14:paraId="2BFBCFEF" w14:textId="77777777" w:rsidR="00993BC5" w:rsidRPr="00CF6F7B" w:rsidRDefault="00993BC5" w:rsidP="00993BC5">
      <w:pPr>
        <w:spacing w:before="120" w:after="120"/>
        <w:jc w:val="center"/>
        <w:rPr>
          <w:b/>
          <w:sz w:val="24"/>
          <w:szCs w:val="24"/>
        </w:rPr>
      </w:pPr>
      <w:r w:rsidRPr="00CF6F7B">
        <w:rPr>
          <w:b/>
          <w:sz w:val="24"/>
          <w:szCs w:val="24"/>
        </w:rPr>
        <w:t>Onsite Visit November 13-15, 2016</w:t>
      </w:r>
    </w:p>
    <w:p w14:paraId="63F17D6D" w14:textId="74F7ABAD" w:rsidR="00993BC5" w:rsidRPr="00CF6F7B" w:rsidRDefault="00993BC5" w:rsidP="00DF5C12">
      <w:pPr>
        <w:spacing w:before="120" w:after="120"/>
        <w:ind w:firstLine="720"/>
        <w:rPr>
          <w:sz w:val="24"/>
          <w:szCs w:val="24"/>
        </w:rPr>
      </w:pPr>
      <w:r w:rsidRPr="00CF6F7B">
        <w:rPr>
          <w:sz w:val="24"/>
          <w:szCs w:val="24"/>
        </w:rPr>
        <w:t>Eastern Connecticut State University (Eastern)’s Unit acknowledges receipt of the NCATE Board of Examiners’ (BOE) Report about the NCATE Full Onsi</w:t>
      </w:r>
      <w:r w:rsidR="00623FA2">
        <w:rPr>
          <w:sz w:val="24"/>
          <w:szCs w:val="24"/>
        </w:rPr>
        <w:t xml:space="preserve">te Visit November 13-15, 2016. </w:t>
      </w:r>
      <w:r w:rsidRPr="00CF6F7B">
        <w:rPr>
          <w:sz w:val="24"/>
          <w:szCs w:val="24"/>
        </w:rPr>
        <w:t xml:space="preserve">We submit this rejoinder report addressing concerns </w:t>
      </w:r>
      <w:r w:rsidR="00DF5C12" w:rsidRPr="00CF6F7B">
        <w:rPr>
          <w:sz w:val="24"/>
          <w:szCs w:val="24"/>
        </w:rPr>
        <w:t>and areas for improvement recommended</w:t>
      </w:r>
      <w:r w:rsidRPr="00CF6F7B">
        <w:rPr>
          <w:sz w:val="24"/>
          <w:szCs w:val="24"/>
        </w:rPr>
        <w:t xml:space="preserve"> in the BOE report. </w:t>
      </w:r>
    </w:p>
    <w:p w14:paraId="68AB61F0" w14:textId="7607E287" w:rsidR="00993BC5" w:rsidRPr="00CF6F7B" w:rsidRDefault="00993BC5" w:rsidP="00DF5C12">
      <w:pPr>
        <w:spacing w:before="120" w:after="120"/>
        <w:ind w:firstLine="720"/>
        <w:rPr>
          <w:sz w:val="24"/>
          <w:szCs w:val="24"/>
        </w:rPr>
      </w:pPr>
      <w:r w:rsidRPr="00CF6F7B">
        <w:rPr>
          <w:sz w:val="24"/>
          <w:szCs w:val="24"/>
        </w:rPr>
        <w:t>Eastern’s Unit would like to thank and appreciate the collegial and professional leadership and support shown by the visiting team members, in particular by Dr. Jerry Bailey, the team chair. All members of our Unit felt that the team members were uniformly professional, thorough, organized an</w:t>
      </w:r>
      <w:r w:rsidR="00623FA2">
        <w:rPr>
          <w:sz w:val="24"/>
          <w:szCs w:val="24"/>
        </w:rPr>
        <w:t xml:space="preserve">d fully committed to the task. </w:t>
      </w:r>
      <w:r w:rsidRPr="00CF6F7B">
        <w:rPr>
          <w:sz w:val="24"/>
          <w:szCs w:val="24"/>
        </w:rPr>
        <w:t xml:space="preserve">The Unit </w:t>
      </w:r>
      <w:r w:rsidR="005B77BB" w:rsidRPr="00CF6F7B">
        <w:rPr>
          <w:sz w:val="24"/>
          <w:szCs w:val="24"/>
        </w:rPr>
        <w:t>also appreciates the comprehensive and detailed BOE report submitted by the visiting team</w:t>
      </w:r>
      <w:r w:rsidR="009C226F">
        <w:rPr>
          <w:sz w:val="24"/>
          <w:szCs w:val="24"/>
        </w:rPr>
        <w:t xml:space="preserve">. It clearly identifies </w:t>
      </w:r>
      <w:r w:rsidR="005B77BB" w:rsidRPr="00CF6F7B">
        <w:rPr>
          <w:sz w:val="24"/>
          <w:szCs w:val="24"/>
        </w:rPr>
        <w:t>our strengths</w:t>
      </w:r>
      <w:r w:rsidR="009C226F">
        <w:rPr>
          <w:sz w:val="24"/>
          <w:szCs w:val="24"/>
        </w:rPr>
        <w:t xml:space="preserve">, highlights the </w:t>
      </w:r>
      <w:r w:rsidR="00CB47A1" w:rsidRPr="00CF6F7B">
        <w:rPr>
          <w:sz w:val="24"/>
          <w:szCs w:val="24"/>
        </w:rPr>
        <w:t>improvements</w:t>
      </w:r>
      <w:r w:rsidR="005B77BB" w:rsidRPr="00CF6F7B">
        <w:rPr>
          <w:sz w:val="24"/>
          <w:szCs w:val="24"/>
        </w:rPr>
        <w:t xml:space="preserve"> to our programs that have been accomplished and implemented, acknowledg</w:t>
      </w:r>
      <w:r w:rsidR="009C226F">
        <w:rPr>
          <w:sz w:val="24"/>
          <w:szCs w:val="24"/>
        </w:rPr>
        <w:t>es</w:t>
      </w:r>
      <w:r w:rsidR="005B77BB" w:rsidRPr="00CF6F7B">
        <w:rPr>
          <w:sz w:val="24"/>
          <w:szCs w:val="24"/>
        </w:rPr>
        <w:t xml:space="preserve"> our </w:t>
      </w:r>
      <w:r w:rsidR="00804A12">
        <w:rPr>
          <w:sz w:val="24"/>
          <w:szCs w:val="24"/>
        </w:rPr>
        <w:t>ongoing work</w:t>
      </w:r>
      <w:r w:rsidR="005B77BB" w:rsidRPr="00CF6F7B">
        <w:rPr>
          <w:sz w:val="24"/>
          <w:szCs w:val="24"/>
        </w:rPr>
        <w:t xml:space="preserve"> for </w:t>
      </w:r>
      <w:r w:rsidR="00804A12">
        <w:rPr>
          <w:sz w:val="24"/>
          <w:szCs w:val="24"/>
        </w:rPr>
        <w:t>continuous</w:t>
      </w:r>
      <w:r w:rsidR="005B77BB" w:rsidRPr="00CF6F7B">
        <w:rPr>
          <w:sz w:val="24"/>
          <w:szCs w:val="24"/>
        </w:rPr>
        <w:t xml:space="preserve"> improvements</w:t>
      </w:r>
      <w:r w:rsidR="00CB47A1">
        <w:rPr>
          <w:sz w:val="24"/>
          <w:szCs w:val="24"/>
          <w:lang w:val="it-IT"/>
        </w:rPr>
        <w:t>,</w:t>
      </w:r>
      <w:r w:rsidR="005B77BB" w:rsidRPr="00CF6F7B">
        <w:rPr>
          <w:sz w:val="24"/>
          <w:szCs w:val="24"/>
        </w:rPr>
        <w:t xml:space="preserve"> and </w:t>
      </w:r>
      <w:r w:rsidR="00804A12">
        <w:rPr>
          <w:sz w:val="24"/>
          <w:szCs w:val="24"/>
        </w:rPr>
        <w:t>denotes a few</w:t>
      </w:r>
      <w:r w:rsidR="005B77BB" w:rsidRPr="00CF6F7B">
        <w:rPr>
          <w:sz w:val="24"/>
          <w:szCs w:val="24"/>
        </w:rPr>
        <w:t xml:space="preserve"> areas for further improve</w:t>
      </w:r>
      <w:r w:rsidR="00804A12">
        <w:rPr>
          <w:sz w:val="24"/>
          <w:szCs w:val="24"/>
        </w:rPr>
        <w:t>ment</w:t>
      </w:r>
      <w:r w:rsidR="005B77BB" w:rsidRPr="00CF6F7B">
        <w:rPr>
          <w:sz w:val="24"/>
          <w:szCs w:val="24"/>
        </w:rPr>
        <w:t>.</w:t>
      </w:r>
    </w:p>
    <w:p w14:paraId="3F06E12F" w14:textId="78F81DAB" w:rsidR="004F0126" w:rsidRPr="00CF6F7B" w:rsidRDefault="004F0126" w:rsidP="00DF5C12">
      <w:pPr>
        <w:spacing w:before="120" w:after="120"/>
        <w:ind w:firstLine="720"/>
        <w:rPr>
          <w:sz w:val="24"/>
          <w:szCs w:val="24"/>
        </w:rPr>
      </w:pPr>
      <w:r w:rsidRPr="00CF6F7B">
        <w:rPr>
          <w:sz w:val="24"/>
          <w:szCs w:val="24"/>
        </w:rPr>
        <w:t xml:space="preserve">To facilitate </w:t>
      </w:r>
      <w:r w:rsidR="003341E5" w:rsidRPr="00CF6F7B">
        <w:rPr>
          <w:sz w:val="24"/>
          <w:szCs w:val="24"/>
        </w:rPr>
        <w:t>the</w:t>
      </w:r>
      <w:r w:rsidRPr="00CF6F7B">
        <w:rPr>
          <w:sz w:val="24"/>
          <w:szCs w:val="24"/>
        </w:rPr>
        <w:t xml:space="preserve"> review of </w:t>
      </w:r>
      <w:r w:rsidR="003341E5" w:rsidRPr="00CF6F7B">
        <w:rPr>
          <w:sz w:val="24"/>
          <w:szCs w:val="24"/>
        </w:rPr>
        <w:t xml:space="preserve">all of </w:t>
      </w:r>
      <w:r w:rsidRPr="00CF6F7B">
        <w:rPr>
          <w:sz w:val="24"/>
          <w:szCs w:val="24"/>
        </w:rPr>
        <w:t xml:space="preserve">our accreditation documents, Eastern Unit has uploaded these in our website at </w:t>
      </w:r>
      <w:hyperlink r:id="rId8" w:history="1">
        <w:r w:rsidR="009228D6" w:rsidRPr="00CF6F7B">
          <w:rPr>
            <w:rStyle w:val="Hyperlink"/>
            <w:sz w:val="24"/>
            <w:szCs w:val="24"/>
          </w:rPr>
          <w:t>http://www.easternct.edu/graduate/accreditation/</w:t>
        </w:r>
      </w:hyperlink>
      <w:r w:rsidR="009228D6" w:rsidRPr="00CF6F7B">
        <w:rPr>
          <w:sz w:val="24"/>
          <w:szCs w:val="24"/>
        </w:rPr>
        <w:t xml:space="preserve">. </w:t>
      </w:r>
      <w:r w:rsidRPr="00CF6F7B">
        <w:rPr>
          <w:sz w:val="24"/>
          <w:szCs w:val="24"/>
        </w:rPr>
        <w:t xml:space="preserve">This website holds the Institutional Report </w:t>
      </w:r>
      <w:r w:rsidR="00804A12">
        <w:rPr>
          <w:sz w:val="24"/>
          <w:szCs w:val="24"/>
        </w:rPr>
        <w:t xml:space="preserve">(IR) </w:t>
      </w:r>
      <w:r w:rsidRPr="00CF6F7B">
        <w:rPr>
          <w:sz w:val="24"/>
          <w:szCs w:val="24"/>
        </w:rPr>
        <w:t>with the narratives for all the standards and related exhibits</w:t>
      </w:r>
      <w:r w:rsidR="001B3BD5">
        <w:rPr>
          <w:sz w:val="24"/>
          <w:szCs w:val="24"/>
        </w:rPr>
        <w:t>,</w:t>
      </w:r>
      <w:r w:rsidR="009228D6" w:rsidRPr="00CF6F7B">
        <w:rPr>
          <w:sz w:val="24"/>
          <w:szCs w:val="24"/>
        </w:rPr>
        <w:t xml:space="preserve"> the response to the Offsite </w:t>
      </w:r>
      <w:r w:rsidR="001B3BD5">
        <w:rPr>
          <w:sz w:val="24"/>
          <w:szCs w:val="24"/>
        </w:rPr>
        <w:t>Report and related appendices, and the evidence</w:t>
      </w:r>
      <w:r w:rsidR="009228D6" w:rsidRPr="00CF6F7B">
        <w:rPr>
          <w:sz w:val="24"/>
          <w:szCs w:val="24"/>
        </w:rPr>
        <w:t xml:space="preserve"> shared with the visiting team Onsite.  While the IR and Offsite report</w:t>
      </w:r>
      <w:r w:rsidR="00804A12">
        <w:rPr>
          <w:sz w:val="24"/>
          <w:szCs w:val="24"/>
        </w:rPr>
        <w:t xml:space="preserve"> </w:t>
      </w:r>
      <w:r w:rsidR="009228D6" w:rsidRPr="00CF6F7B">
        <w:rPr>
          <w:sz w:val="24"/>
          <w:szCs w:val="24"/>
        </w:rPr>
        <w:t xml:space="preserve">and all related exhibits and appendices have been loaded in AIMS also, the Unit believes that our website </w:t>
      </w:r>
      <w:r w:rsidR="00746F31">
        <w:rPr>
          <w:sz w:val="24"/>
          <w:szCs w:val="24"/>
        </w:rPr>
        <w:t xml:space="preserve">is clearly organized and may be </w:t>
      </w:r>
      <w:r w:rsidR="00577A93">
        <w:rPr>
          <w:sz w:val="24"/>
          <w:szCs w:val="24"/>
        </w:rPr>
        <w:t xml:space="preserve">more conducive for </w:t>
      </w:r>
      <w:r w:rsidR="009228D6" w:rsidRPr="00CF6F7B">
        <w:rPr>
          <w:sz w:val="24"/>
          <w:szCs w:val="24"/>
        </w:rPr>
        <w:t>easy navigation between</w:t>
      </w:r>
      <w:r w:rsidR="00577A93">
        <w:rPr>
          <w:sz w:val="24"/>
          <w:szCs w:val="24"/>
        </w:rPr>
        <w:t xml:space="preserve"> the narrative</w:t>
      </w:r>
      <w:r w:rsidR="00D2393B">
        <w:rPr>
          <w:sz w:val="24"/>
          <w:szCs w:val="24"/>
        </w:rPr>
        <w:t xml:space="preserve"> and</w:t>
      </w:r>
      <w:r w:rsidR="00577A93">
        <w:rPr>
          <w:sz w:val="24"/>
          <w:szCs w:val="24"/>
        </w:rPr>
        <w:t xml:space="preserve"> the evidence</w:t>
      </w:r>
      <w:r w:rsidR="00746F31">
        <w:rPr>
          <w:sz w:val="24"/>
          <w:szCs w:val="24"/>
        </w:rPr>
        <w:t xml:space="preserve"> with </w:t>
      </w:r>
      <w:r w:rsidR="009228D6" w:rsidRPr="00CF6F7B">
        <w:rPr>
          <w:sz w:val="24"/>
          <w:szCs w:val="24"/>
        </w:rPr>
        <w:t>hyperlinked access to the data.</w:t>
      </w:r>
    </w:p>
    <w:p w14:paraId="06ED03A2" w14:textId="2F1DF422" w:rsidR="003341E5" w:rsidRPr="00CF6F7B" w:rsidRDefault="003341E5" w:rsidP="003341E5">
      <w:pPr>
        <w:spacing w:before="120" w:after="120"/>
        <w:ind w:firstLine="720"/>
        <w:rPr>
          <w:sz w:val="24"/>
          <w:szCs w:val="24"/>
        </w:rPr>
      </w:pPr>
      <w:r w:rsidRPr="00CF6F7B">
        <w:rPr>
          <w:sz w:val="24"/>
          <w:szCs w:val="24"/>
        </w:rPr>
        <w:t>Table 1 (below) captures the essentials of the BOE report with all standards MET for both Initial and Advanced programs, AFIs re</w:t>
      </w:r>
      <w:r w:rsidR="00D2393B">
        <w:rPr>
          <w:sz w:val="24"/>
          <w:szCs w:val="24"/>
        </w:rPr>
        <w:t>moved</w:t>
      </w:r>
      <w:r w:rsidRPr="00CF6F7B">
        <w:rPr>
          <w:sz w:val="24"/>
          <w:szCs w:val="24"/>
        </w:rPr>
        <w:t xml:space="preserve"> (n=22), </w:t>
      </w:r>
      <w:r w:rsidR="009C226F">
        <w:rPr>
          <w:sz w:val="24"/>
          <w:szCs w:val="24"/>
        </w:rPr>
        <w:t xml:space="preserve">previous </w:t>
      </w:r>
      <w:r w:rsidRPr="00CF6F7B">
        <w:rPr>
          <w:sz w:val="24"/>
          <w:szCs w:val="24"/>
        </w:rPr>
        <w:t>AFIs continued (n=0),</w:t>
      </w:r>
      <w:r w:rsidR="009C226F">
        <w:rPr>
          <w:sz w:val="24"/>
          <w:szCs w:val="24"/>
        </w:rPr>
        <w:t xml:space="preserve"> new</w:t>
      </w:r>
      <w:r w:rsidRPr="00CF6F7B">
        <w:rPr>
          <w:sz w:val="24"/>
          <w:szCs w:val="24"/>
        </w:rPr>
        <w:t xml:space="preserve"> AFI</w:t>
      </w:r>
      <w:r w:rsidR="00AF2FF2">
        <w:rPr>
          <w:sz w:val="24"/>
          <w:szCs w:val="24"/>
        </w:rPr>
        <w:t>s recommended (n=2), and a concise response to</w:t>
      </w:r>
      <w:r w:rsidR="00623FA2">
        <w:rPr>
          <w:sz w:val="24"/>
          <w:szCs w:val="24"/>
        </w:rPr>
        <w:t xml:space="preserve"> the recommended AFIs. </w:t>
      </w:r>
      <w:r w:rsidRPr="00CF6F7B">
        <w:rPr>
          <w:sz w:val="24"/>
          <w:szCs w:val="24"/>
        </w:rPr>
        <w:t>In the narrative following, we address the statements of concerns raised in the narratives for Standards 1, 2, 3, 4, 5 a</w:t>
      </w:r>
      <w:r w:rsidR="00623FA2">
        <w:rPr>
          <w:sz w:val="24"/>
          <w:szCs w:val="24"/>
        </w:rPr>
        <w:t xml:space="preserve">nd 6 (all recommended as MET). </w:t>
      </w:r>
      <w:r w:rsidRPr="00CF6F7B">
        <w:rPr>
          <w:sz w:val="24"/>
          <w:szCs w:val="24"/>
        </w:rPr>
        <w:t xml:space="preserve">We also address the new AFIs recommended for Standard 3.  </w:t>
      </w:r>
    </w:p>
    <w:p w14:paraId="64AA8DD9" w14:textId="2603817B" w:rsidR="003341E5" w:rsidRPr="00CF6F7B" w:rsidRDefault="003341E5" w:rsidP="00DF5C12">
      <w:pPr>
        <w:spacing w:before="120" w:after="120"/>
        <w:ind w:firstLine="720"/>
        <w:rPr>
          <w:sz w:val="24"/>
          <w:szCs w:val="24"/>
        </w:rPr>
      </w:pPr>
      <w:r w:rsidRPr="00CF6F7B">
        <w:rPr>
          <w:sz w:val="24"/>
          <w:szCs w:val="24"/>
        </w:rPr>
        <w:t>The BOE report clearly captures our historical background and the legacy Eastern ca</w:t>
      </w:r>
      <w:r w:rsidR="00591D87">
        <w:rPr>
          <w:sz w:val="24"/>
          <w:szCs w:val="24"/>
        </w:rPr>
        <w:t xml:space="preserve">rries forward in </w:t>
      </w:r>
      <w:r w:rsidRPr="00CF6F7B">
        <w:rPr>
          <w:sz w:val="24"/>
          <w:szCs w:val="24"/>
        </w:rPr>
        <w:t>Connecticut.  It also identifies and establishes the transitions that the Eas</w:t>
      </w:r>
      <w:r w:rsidR="00591D87">
        <w:rPr>
          <w:sz w:val="24"/>
          <w:szCs w:val="24"/>
        </w:rPr>
        <w:t>tern Unit has been undergoing</w:t>
      </w:r>
      <w:r w:rsidRPr="00CF6F7B">
        <w:rPr>
          <w:sz w:val="24"/>
          <w:szCs w:val="24"/>
        </w:rPr>
        <w:t xml:space="preserve"> </w:t>
      </w:r>
      <w:r w:rsidR="009C226F">
        <w:rPr>
          <w:sz w:val="24"/>
          <w:szCs w:val="24"/>
        </w:rPr>
        <w:t xml:space="preserve">during </w:t>
      </w:r>
      <w:r w:rsidRPr="00CF6F7B">
        <w:rPr>
          <w:sz w:val="24"/>
          <w:szCs w:val="24"/>
        </w:rPr>
        <w:t xml:space="preserve">the last few years with new leadership within the School of Education and Professional Studies.  The Unit </w:t>
      </w:r>
      <w:r w:rsidR="00746F31">
        <w:rPr>
          <w:sz w:val="24"/>
          <w:szCs w:val="24"/>
        </w:rPr>
        <w:t>appreciates</w:t>
      </w:r>
      <w:r w:rsidRPr="00CF6F7B">
        <w:rPr>
          <w:sz w:val="24"/>
          <w:szCs w:val="24"/>
        </w:rPr>
        <w:t xml:space="preserve"> the visiting team for understanding the effect of this transition on continuous improvement (I.1) and that several positive changes in place for the Initial programs in 2014 had </w:t>
      </w:r>
      <w:r w:rsidR="003E5FCC">
        <w:rPr>
          <w:sz w:val="24"/>
          <w:szCs w:val="24"/>
        </w:rPr>
        <w:t xml:space="preserve">not yet come to mature (I.4). </w:t>
      </w:r>
      <w:r w:rsidRPr="00CF6F7B">
        <w:rPr>
          <w:sz w:val="24"/>
          <w:szCs w:val="24"/>
        </w:rPr>
        <w:t>Too, the visiting team acknowledged the (continuing) low enrollment in our Advanced programs with therefore little data for reporting in 2014 and t</w:t>
      </w:r>
      <w:r w:rsidR="00FB452C">
        <w:rPr>
          <w:sz w:val="24"/>
          <w:szCs w:val="24"/>
        </w:rPr>
        <w:t xml:space="preserve">he current transition toward the discontinuance of individual programs for </w:t>
      </w:r>
      <w:r w:rsidRPr="00CF6F7B">
        <w:rPr>
          <w:sz w:val="24"/>
          <w:szCs w:val="24"/>
        </w:rPr>
        <w:t>a single</w:t>
      </w:r>
      <w:r w:rsidR="00623FA2">
        <w:rPr>
          <w:sz w:val="24"/>
          <w:szCs w:val="24"/>
        </w:rPr>
        <w:t xml:space="preserve">, interdisciplinary advanced </w:t>
      </w:r>
      <w:r w:rsidR="00C8497D">
        <w:rPr>
          <w:sz w:val="24"/>
          <w:szCs w:val="24"/>
        </w:rPr>
        <w:t xml:space="preserve">master’s </w:t>
      </w:r>
      <w:r w:rsidRPr="00CF6F7B">
        <w:rPr>
          <w:sz w:val="24"/>
          <w:szCs w:val="24"/>
        </w:rPr>
        <w:t>program in Educational Studies with concentrations (I.4).</w:t>
      </w:r>
    </w:p>
    <w:p w14:paraId="2A00E9F5" w14:textId="77777777" w:rsidR="009228D6" w:rsidRPr="00CF6F7B" w:rsidRDefault="009228D6" w:rsidP="00DF5C12">
      <w:pPr>
        <w:spacing w:before="120" w:after="120"/>
        <w:ind w:firstLine="720"/>
        <w:rPr>
          <w:sz w:val="24"/>
          <w:szCs w:val="24"/>
        </w:rPr>
      </w:pPr>
    </w:p>
    <w:p w14:paraId="3FB2026B" w14:textId="77777777" w:rsidR="00C210F5" w:rsidRPr="00CF6F7B" w:rsidRDefault="00C210F5" w:rsidP="00DF5C12">
      <w:pPr>
        <w:spacing w:before="120" w:after="120"/>
        <w:ind w:firstLine="720"/>
        <w:rPr>
          <w:sz w:val="24"/>
          <w:szCs w:val="24"/>
        </w:rPr>
      </w:pPr>
    </w:p>
    <w:p w14:paraId="6A721CEC" w14:textId="36CC6719" w:rsidR="00DF5C12" w:rsidRPr="00CF6F7B" w:rsidRDefault="00DF5C12" w:rsidP="00993BC5">
      <w:pPr>
        <w:spacing w:before="120" w:after="120"/>
        <w:rPr>
          <w:sz w:val="24"/>
          <w:szCs w:val="24"/>
        </w:rPr>
      </w:pPr>
      <w:r w:rsidRPr="00CF6F7B">
        <w:rPr>
          <w:sz w:val="24"/>
          <w:szCs w:val="24"/>
        </w:rPr>
        <w:tab/>
      </w:r>
    </w:p>
    <w:p w14:paraId="7942011F" w14:textId="77777777" w:rsidR="000F62C9" w:rsidRPr="00CF6F7B" w:rsidRDefault="000F62C9" w:rsidP="005A0141">
      <w:pPr>
        <w:spacing w:before="120" w:after="120"/>
        <w:jc w:val="center"/>
        <w:rPr>
          <w:b/>
          <w:sz w:val="24"/>
          <w:szCs w:val="24"/>
        </w:rPr>
        <w:sectPr w:rsidR="000F62C9" w:rsidRPr="00CF6F7B" w:rsidSect="000F62C9">
          <w:footerReference w:type="even" r:id="rId9"/>
          <w:footerReference w:type="default" r:id="rId10"/>
          <w:footerReference w:type="first" r:id="rId11"/>
          <w:pgSz w:w="12240" w:h="15840"/>
          <w:pgMar w:top="1440" w:right="1440" w:bottom="1440" w:left="1440" w:header="720" w:footer="720" w:gutter="0"/>
          <w:cols w:space="720"/>
          <w:docGrid w:linePitch="299"/>
        </w:sectPr>
      </w:pPr>
    </w:p>
    <w:p w14:paraId="63817CB9" w14:textId="0F9243DC" w:rsidR="00E33FE8" w:rsidRPr="00CF6F7B" w:rsidRDefault="00993BC5" w:rsidP="005A0141">
      <w:pPr>
        <w:spacing w:before="120" w:after="120"/>
        <w:jc w:val="center"/>
        <w:rPr>
          <w:b/>
          <w:sz w:val="24"/>
          <w:szCs w:val="24"/>
        </w:rPr>
      </w:pPr>
      <w:r w:rsidRPr="00CF6F7B">
        <w:rPr>
          <w:b/>
          <w:sz w:val="24"/>
          <w:szCs w:val="24"/>
        </w:rPr>
        <w:lastRenderedPageBreak/>
        <w:t>Table 1: Chart outlining BOE Recommendations, AFIs removed, continued, recommended and Eastern’s response</w:t>
      </w:r>
    </w:p>
    <w:tbl>
      <w:tblPr>
        <w:tblpPr w:leftFromText="180" w:rightFromText="180" w:vertAnchor="text" w:tblpY="1"/>
        <w:tblOverlap w:val="neve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971"/>
        <w:gridCol w:w="1505"/>
        <w:gridCol w:w="1674"/>
        <w:gridCol w:w="1230"/>
        <w:gridCol w:w="2310"/>
        <w:gridCol w:w="3792"/>
      </w:tblGrid>
      <w:tr w:rsidR="00B05624" w:rsidRPr="00CF6F7B" w14:paraId="20D5CDF6" w14:textId="2A971243" w:rsidTr="00B05624">
        <w:tc>
          <w:tcPr>
            <w:tcW w:w="469" w:type="pct"/>
            <w:shd w:val="clear" w:color="auto" w:fill="auto"/>
          </w:tcPr>
          <w:p w14:paraId="466A0134" w14:textId="77777777" w:rsidR="00500980" w:rsidRPr="00CF6F7B" w:rsidRDefault="00500980" w:rsidP="004C71EB">
            <w:pPr>
              <w:spacing w:before="120" w:after="120"/>
              <w:jc w:val="center"/>
              <w:rPr>
                <w:rFonts w:eastAsia="Calibri"/>
                <w:b/>
                <w:sz w:val="24"/>
                <w:szCs w:val="24"/>
              </w:rPr>
            </w:pPr>
            <w:r w:rsidRPr="00CF6F7B">
              <w:rPr>
                <w:rFonts w:eastAsia="Calibri"/>
                <w:b/>
                <w:sz w:val="24"/>
                <w:szCs w:val="24"/>
              </w:rPr>
              <w:t>Standard</w:t>
            </w:r>
          </w:p>
        </w:tc>
        <w:tc>
          <w:tcPr>
            <w:tcW w:w="384" w:type="pct"/>
            <w:shd w:val="clear" w:color="auto" w:fill="auto"/>
          </w:tcPr>
          <w:p w14:paraId="6BBD0074" w14:textId="290F70FC" w:rsidR="00500980" w:rsidRPr="00CF6F7B" w:rsidRDefault="00500980" w:rsidP="00401745">
            <w:pPr>
              <w:spacing w:before="120" w:after="120"/>
              <w:jc w:val="center"/>
              <w:rPr>
                <w:rFonts w:eastAsia="Calibri"/>
                <w:b/>
                <w:sz w:val="24"/>
                <w:szCs w:val="24"/>
              </w:rPr>
            </w:pPr>
            <w:r w:rsidRPr="00CF6F7B">
              <w:rPr>
                <w:rFonts w:eastAsia="Calibri"/>
                <w:b/>
                <w:sz w:val="24"/>
                <w:szCs w:val="24"/>
              </w:rPr>
              <w:t xml:space="preserve">BOE </w:t>
            </w:r>
          </w:p>
        </w:tc>
        <w:tc>
          <w:tcPr>
            <w:tcW w:w="595" w:type="pct"/>
            <w:shd w:val="clear" w:color="auto" w:fill="auto"/>
          </w:tcPr>
          <w:p w14:paraId="1659EFA2" w14:textId="77777777" w:rsidR="00500980" w:rsidRPr="00CF6F7B" w:rsidRDefault="00500980" w:rsidP="004C71EB">
            <w:pPr>
              <w:spacing w:before="120" w:after="120"/>
              <w:jc w:val="center"/>
              <w:rPr>
                <w:rFonts w:eastAsia="Calibri"/>
                <w:b/>
                <w:sz w:val="24"/>
                <w:szCs w:val="24"/>
              </w:rPr>
            </w:pPr>
            <w:r w:rsidRPr="00CF6F7B">
              <w:rPr>
                <w:rFonts w:eastAsia="Calibri"/>
                <w:b/>
                <w:sz w:val="24"/>
                <w:szCs w:val="24"/>
              </w:rPr>
              <w:t>Programs</w:t>
            </w:r>
          </w:p>
        </w:tc>
        <w:tc>
          <w:tcPr>
            <w:tcW w:w="661" w:type="pct"/>
          </w:tcPr>
          <w:p w14:paraId="2662B5A0" w14:textId="11EF53F4" w:rsidR="00500980" w:rsidRPr="00CF6F7B" w:rsidRDefault="00500980" w:rsidP="004C71EB">
            <w:pPr>
              <w:spacing w:before="120" w:after="120"/>
              <w:jc w:val="center"/>
              <w:rPr>
                <w:rFonts w:eastAsia="Calibri"/>
                <w:b/>
                <w:sz w:val="24"/>
                <w:szCs w:val="24"/>
              </w:rPr>
            </w:pPr>
            <w:r w:rsidRPr="00CF6F7B">
              <w:rPr>
                <w:rFonts w:eastAsia="Calibri"/>
                <w:b/>
                <w:sz w:val="24"/>
                <w:szCs w:val="24"/>
              </w:rPr>
              <w:t>AFIs removed from last visit</w:t>
            </w:r>
          </w:p>
        </w:tc>
        <w:tc>
          <w:tcPr>
            <w:tcW w:w="481" w:type="pct"/>
          </w:tcPr>
          <w:p w14:paraId="7723A060" w14:textId="7AE3D856" w:rsidR="00500980" w:rsidRPr="00CF6F7B" w:rsidRDefault="00500980" w:rsidP="004C71EB">
            <w:pPr>
              <w:spacing w:before="120" w:after="120"/>
              <w:jc w:val="center"/>
              <w:rPr>
                <w:rFonts w:eastAsia="Calibri"/>
                <w:b/>
                <w:sz w:val="24"/>
                <w:szCs w:val="24"/>
              </w:rPr>
            </w:pPr>
            <w:r w:rsidRPr="00CF6F7B">
              <w:rPr>
                <w:rFonts w:eastAsia="Calibri"/>
                <w:b/>
                <w:sz w:val="24"/>
                <w:szCs w:val="24"/>
              </w:rPr>
              <w:t>AFIs continued from last visit</w:t>
            </w:r>
          </w:p>
        </w:tc>
        <w:tc>
          <w:tcPr>
            <w:tcW w:w="912" w:type="pct"/>
            <w:shd w:val="clear" w:color="auto" w:fill="auto"/>
          </w:tcPr>
          <w:p w14:paraId="134AE8AE" w14:textId="0AB82A72" w:rsidR="00500980" w:rsidRPr="00CF6F7B" w:rsidRDefault="00500980" w:rsidP="004C71EB">
            <w:pPr>
              <w:spacing w:before="120" w:after="120"/>
              <w:jc w:val="center"/>
              <w:rPr>
                <w:rFonts w:eastAsia="Calibri"/>
                <w:b/>
                <w:sz w:val="24"/>
                <w:szCs w:val="24"/>
              </w:rPr>
            </w:pPr>
            <w:r w:rsidRPr="00CF6F7B">
              <w:rPr>
                <w:rFonts w:eastAsia="Calibri"/>
                <w:b/>
                <w:sz w:val="24"/>
                <w:szCs w:val="24"/>
              </w:rPr>
              <w:t>New AFIs recommended</w:t>
            </w:r>
          </w:p>
        </w:tc>
        <w:tc>
          <w:tcPr>
            <w:tcW w:w="1497" w:type="pct"/>
          </w:tcPr>
          <w:p w14:paraId="00A45C5A" w14:textId="59CC08BA" w:rsidR="00500980" w:rsidRPr="00CF6F7B" w:rsidRDefault="00993BC5" w:rsidP="00993BC5">
            <w:pPr>
              <w:spacing w:before="120" w:after="120"/>
              <w:jc w:val="center"/>
              <w:rPr>
                <w:rFonts w:eastAsia="Calibri"/>
                <w:b/>
                <w:sz w:val="24"/>
                <w:szCs w:val="24"/>
              </w:rPr>
            </w:pPr>
            <w:r w:rsidRPr="00CF6F7B">
              <w:rPr>
                <w:rFonts w:eastAsia="Calibri"/>
                <w:b/>
                <w:sz w:val="24"/>
                <w:szCs w:val="24"/>
              </w:rPr>
              <w:t>Eastern’s</w:t>
            </w:r>
            <w:r w:rsidR="00500980" w:rsidRPr="00CF6F7B">
              <w:rPr>
                <w:rFonts w:eastAsia="Calibri"/>
                <w:b/>
                <w:sz w:val="24"/>
                <w:szCs w:val="24"/>
              </w:rPr>
              <w:t xml:space="preserve"> </w:t>
            </w:r>
            <w:r w:rsidRPr="00CF6F7B">
              <w:rPr>
                <w:rFonts w:eastAsia="Calibri"/>
                <w:b/>
                <w:sz w:val="24"/>
                <w:szCs w:val="24"/>
              </w:rPr>
              <w:t>Response</w:t>
            </w:r>
          </w:p>
        </w:tc>
      </w:tr>
      <w:tr w:rsidR="00B05624" w:rsidRPr="00CF6F7B" w14:paraId="1B0BBB39" w14:textId="3C778B2A" w:rsidTr="00B05624">
        <w:tc>
          <w:tcPr>
            <w:tcW w:w="469" w:type="pct"/>
            <w:shd w:val="clear" w:color="auto" w:fill="auto"/>
            <w:vAlign w:val="center"/>
          </w:tcPr>
          <w:p w14:paraId="454B209F" w14:textId="77777777" w:rsidR="00500980" w:rsidRPr="00CF6F7B" w:rsidRDefault="00500980" w:rsidP="004C71EB">
            <w:pPr>
              <w:spacing w:before="120" w:after="120"/>
              <w:jc w:val="center"/>
              <w:rPr>
                <w:rFonts w:eastAsia="Calibri"/>
                <w:b/>
                <w:sz w:val="24"/>
                <w:szCs w:val="24"/>
              </w:rPr>
            </w:pPr>
            <w:r w:rsidRPr="00CF6F7B">
              <w:rPr>
                <w:rFonts w:eastAsia="Calibri"/>
                <w:b/>
                <w:sz w:val="24"/>
                <w:szCs w:val="24"/>
              </w:rPr>
              <w:t>1</w:t>
            </w:r>
          </w:p>
        </w:tc>
        <w:tc>
          <w:tcPr>
            <w:tcW w:w="384" w:type="pct"/>
            <w:shd w:val="clear" w:color="auto" w:fill="auto"/>
            <w:vAlign w:val="center"/>
          </w:tcPr>
          <w:p w14:paraId="6E2F4DD3" w14:textId="77777777" w:rsidR="00500980" w:rsidRPr="00CF6F7B" w:rsidRDefault="00500980" w:rsidP="004C71EB">
            <w:pPr>
              <w:spacing w:before="120" w:after="120"/>
              <w:jc w:val="center"/>
              <w:rPr>
                <w:rFonts w:eastAsia="Calibri"/>
                <w:sz w:val="24"/>
                <w:szCs w:val="24"/>
              </w:rPr>
            </w:pPr>
            <w:r w:rsidRPr="00CF6F7B">
              <w:rPr>
                <w:rFonts w:eastAsia="Calibri"/>
                <w:sz w:val="24"/>
                <w:szCs w:val="24"/>
              </w:rPr>
              <w:t>Met</w:t>
            </w:r>
          </w:p>
        </w:tc>
        <w:tc>
          <w:tcPr>
            <w:tcW w:w="595" w:type="pct"/>
            <w:shd w:val="clear" w:color="auto" w:fill="auto"/>
            <w:vAlign w:val="center"/>
          </w:tcPr>
          <w:p w14:paraId="77FC6A88" w14:textId="77777777" w:rsidR="00500980" w:rsidRPr="00CF6F7B" w:rsidRDefault="00500980" w:rsidP="004C71EB">
            <w:pPr>
              <w:spacing w:before="120" w:after="120"/>
              <w:jc w:val="center"/>
              <w:rPr>
                <w:rFonts w:eastAsia="Calibri"/>
                <w:sz w:val="24"/>
                <w:szCs w:val="24"/>
              </w:rPr>
            </w:pPr>
            <w:r w:rsidRPr="00CF6F7B">
              <w:rPr>
                <w:rFonts w:eastAsia="Calibri"/>
                <w:sz w:val="24"/>
                <w:szCs w:val="24"/>
              </w:rPr>
              <w:t>Initial</w:t>
            </w:r>
          </w:p>
          <w:p w14:paraId="298FE017" w14:textId="77777777" w:rsidR="00500980" w:rsidRPr="00CF6F7B" w:rsidRDefault="00500980" w:rsidP="004C71EB">
            <w:pPr>
              <w:spacing w:before="120" w:after="120"/>
              <w:jc w:val="center"/>
              <w:rPr>
                <w:rFonts w:eastAsia="Calibri"/>
                <w:sz w:val="24"/>
                <w:szCs w:val="24"/>
              </w:rPr>
            </w:pPr>
            <w:r w:rsidRPr="00CF6F7B">
              <w:rPr>
                <w:rFonts w:eastAsia="Calibri"/>
                <w:sz w:val="24"/>
                <w:szCs w:val="24"/>
              </w:rPr>
              <w:t>Advanced</w:t>
            </w:r>
          </w:p>
        </w:tc>
        <w:tc>
          <w:tcPr>
            <w:tcW w:w="661" w:type="pct"/>
            <w:vAlign w:val="center"/>
          </w:tcPr>
          <w:p w14:paraId="79B2BFAE" w14:textId="3A386D1B" w:rsidR="00500980" w:rsidRPr="00CF6F7B" w:rsidRDefault="00500980" w:rsidP="00401745">
            <w:pPr>
              <w:pStyle w:val="MediumGrid1-Accent21"/>
              <w:spacing w:before="120" w:after="120" w:line="240" w:lineRule="auto"/>
              <w:ind w:left="0"/>
              <w:jc w:val="center"/>
              <w:rPr>
                <w:rFonts w:ascii="Times New Roman" w:hAnsi="Times New Roman"/>
                <w:sz w:val="24"/>
                <w:szCs w:val="24"/>
              </w:rPr>
            </w:pPr>
            <w:r w:rsidRPr="00CF6F7B">
              <w:rPr>
                <w:rFonts w:ascii="Times New Roman" w:hAnsi="Times New Roman"/>
                <w:sz w:val="24"/>
                <w:szCs w:val="24"/>
              </w:rPr>
              <w:t>All (n=1) previous AFIs removed</w:t>
            </w:r>
          </w:p>
        </w:tc>
        <w:tc>
          <w:tcPr>
            <w:tcW w:w="481" w:type="pct"/>
            <w:vAlign w:val="center"/>
          </w:tcPr>
          <w:p w14:paraId="3D2F239E" w14:textId="7876E61F" w:rsidR="00500980" w:rsidRPr="00CF6F7B" w:rsidRDefault="00500980" w:rsidP="00401745">
            <w:pPr>
              <w:pStyle w:val="MediumGrid1-Accent21"/>
              <w:spacing w:before="120" w:after="120" w:line="240" w:lineRule="auto"/>
              <w:ind w:left="0"/>
              <w:jc w:val="center"/>
              <w:rPr>
                <w:rFonts w:ascii="Times New Roman" w:hAnsi="Times New Roman"/>
                <w:sz w:val="24"/>
                <w:szCs w:val="24"/>
              </w:rPr>
            </w:pPr>
            <w:r w:rsidRPr="00CF6F7B">
              <w:rPr>
                <w:rFonts w:ascii="Times New Roman" w:hAnsi="Times New Roman"/>
                <w:sz w:val="24"/>
                <w:szCs w:val="24"/>
              </w:rPr>
              <w:t>None</w:t>
            </w:r>
          </w:p>
        </w:tc>
        <w:tc>
          <w:tcPr>
            <w:tcW w:w="912" w:type="pct"/>
            <w:shd w:val="clear" w:color="auto" w:fill="auto"/>
            <w:vAlign w:val="center"/>
          </w:tcPr>
          <w:p w14:paraId="5E5FD41E" w14:textId="2CCC85A0" w:rsidR="00500980" w:rsidRPr="00CF6F7B" w:rsidRDefault="00500980" w:rsidP="004C71EB">
            <w:pPr>
              <w:pStyle w:val="MediumGrid1-Accent21"/>
              <w:spacing w:before="120" w:after="120" w:line="240" w:lineRule="auto"/>
              <w:ind w:left="0"/>
              <w:jc w:val="center"/>
              <w:rPr>
                <w:rFonts w:ascii="Times New Roman" w:hAnsi="Times New Roman"/>
                <w:i/>
                <w:sz w:val="24"/>
                <w:szCs w:val="24"/>
              </w:rPr>
            </w:pPr>
            <w:r w:rsidRPr="00CF6F7B">
              <w:rPr>
                <w:rFonts w:ascii="Times New Roman" w:hAnsi="Times New Roman"/>
                <w:sz w:val="24"/>
                <w:szCs w:val="24"/>
              </w:rPr>
              <w:t>None</w:t>
            </w:r>
          </w:p>
        </w:tc>
        <w:tc>
          <w:tcPr>
            <w:tcW w:w="1497" w:type="pct"/>
            <w:vAlign w:val="center"/>
          </w:tcPr>
          <w:p w14:paraId="51229303" w14:textId="0486FC44" w:rsidR="00500980" w:rsidRPr="00CF6F7B" w:rsidRDefault="00C47881" w:rsidP="004D2A95">
            <w:pPr>
              <w:spacing w:before="120" w:after="120"/>
              <w:jc w:val="center"/>
              <w:rPr>
                <w:rFonts w:eastAsia="Calibri"/>
                <w:sz w:val="24"/>
                <w:szCs w:val="24"/>
              </w:rPr>
            </w:pPr>
            <w:r>
              <w:rPr>
                <w:rFonts w:eastAsia="Calibri"/>
                <w:sz w:val="24"/>
                <w:szCs w:val="24"/>
              </w:rPr>
              <w:t>Agreed</w:t>
            </w:r>
          </w:p>
        </w:tc>
      </w:tr>
      <w:tr w:rsidR="00B05624" w:rsidRPr="00CF6F7B" w14:paraId="657DC9BF" w14:textId="366ECDB5" w:rsidTr="00B05624">
        <w:tc>
          <w:tcPr>
            <w:tcW w:w="469" w:type="pct"/>
            <w:shd w:val="clear" w:color="auto" w:fill="auto"/>
            <w:vAlign w:val="center"/>
          </w:tcPr>
          <w:p w14:paraId="0A5DEC19" w14:textId="25B18AF7" w:rsidR="00500980" w:rsidRPr="00CF6F7B" w:rsidRDefault="00500980" w:rsidP="004C71EB">
            <w:pPr>
              <w:spacing w:before="120" w:after="120"/>
              <w:jc w:val="center"/>
              <w:rPr>
                <w:rFonts w:eastAsia="Calibri"/>
                <w:b/>
                <w:sz w:val="24"/>
                <w:szCs w:val="24"/>
              </w:rPr>
            </w:pPr>
            <w:r w:rsidRPr="00CF6F7B">
              <w:rPr>
                <w:rFonts w:eastAsia="Calibri"/>
                <w:b/>
                <w:sz w:val="24"/>
                <w:szCs w:val="24"/>
              </w:rPr>
              <w:t>2</w:t>
            </w:r>
          </w:p>
        </w:tc>
        <w:tc>
          <w:tcPr>
            <w:tcW w:w="384" w:type="pct"/>
            <w:shd w:val="clear" w:color="auto" w:fill="auto"/>
            <w:vAlign w:val="center"/>
          </w:tcPr>
          <w:p w14:paraId="50372617" w14:textId="272CF2C2" w:rsidR="00500980" w:rsidRPr="00CF6F7B" w:rsidRDefault="00500980" w:rsidP="004C71EB">
            <w:pPr>
              <w:spacing w:before="120" w:after="120"/>
              <w:jc w:val="center"/>
              <w:rPr>
                <w:rFonts w:eastAsia="Calibri"/>
                <w:sz w:val="24"/>
                <w:szCs w:val="24"/>
              </w:rPr>
            </w:pPr>
            <w:r w:rsidRPr="00CF6F7B">
              <w:rPr>
                <w:rFonts w:eastAsia="Calibri"/>
                <w:sz w:val="24"/>
                <w:szCs w:val="24"/>
              </w:rPr>
              <w:t>Met</w:t>
            </w:r>
          </w:p>
        </w:tc>
        <w:tc>
          <w:tcPr>
            <w:tcW w:w="595" w:type="pct"/>
            <w:shd w:val="clear" w:color="auto" w:fill="auto"/>
            <w:vAlign w:val="center"/>
          </w:tcPr>
          <w:p w14:paraId="0269CBD4" w14:textId="77777777" w:rsidR="00500980" w:rsidRPr="00CF6F7B" w:rsidRDefault="00500980" w:rsidP="004C71EB">
            <w:pPr>
              <w:spacing w:before="120" w:after="120"/>
              <w:jc w:val="center"/>
              <w:rPr>
                <w:rFonts w:eastAsia="Calibri"/>
                <w:sz w:val="24"/>
                <w:szCs w:val="24"/>
              </w:rPr>
            </w:pPr>
            <w:r w:rsidRPr="00CF6F7B">
              <w:rPr>
                <w:rFonts w:eastAsia="Calibri"/>
                <w:sz w:val="24"/>
                <w:szCs w:val="24"/>
              </w:rPr>
              <w:t>Initial</w:t>
            </w:r>
          </w:p>
          <w:p w14:paraId="6EBD243B" w14:textId="0B14B6C9" w:rsidR="00500980" w:rsidRPr="00CF6F7B" w:rsidRDefault="00500980" w:rsidP="004C71EB">
            <w:pPr>
              <w:spacing w:before="120" w:after="120"/>
              <w:jc w:val="center"/>
              <w:rPr>
                <w:rFonts w:eastAsia="Calibri"/>
                <w:sz w:val="24"/>
                <w:szCs w:val="24"/>
              </w:rPr>
            </w:pPr>
            <w:r w:rsidRPr="00CF6F7B">
              <w:rPr>
                <w:rFonts w:eastAsia="Calibri"/>
                <w:sz w:val="24"/>
                <w:szCs w:val="24"/>
              </w:rPr>
              <w:t>Advanced</w:t>
            </w:r>
          </w:p>
        </w:tc>
        <w:tc>
          <w:tcPr>
            <w:tcW w:w="661" w:type="pct"/>
            <w:vAlign w:val="center"/>
          </w:tcPr>
          <w:p w14:paraId="493F607B" w14:textId="21BE7103" w:rsidR="00500980" w:rsidRPr="00CF6F7B" w:rsidRDefault="00500980" w:rsidP="00401745">
            <w:pPr>
              <w:pStyle w:val="MediumGrid1-Accent21"/>
              <w:spacing w:before="120" w:after="120" w:line="240" w:lineRule="auto"/>
              <w:ind w:left="0"/>
              <w:jc w:val="center"/>
              <w:rPr>
                <w:rFonts w:ascii="Times New Roman" w:hAnsi="Times New Roman"/>
                <w:sz w:val="24"/>
                <w:szCs w:val="24"/>
              </w:rPr>
            </w:pPr>
            <w:r w:rsidRPr="00CF6F7B">
              <w:rPr>
                <w:rFonts w:ascii="Times New Roman" w:hAnsi="Times New Roman"/>
                <w:sz w:val="24"/>
                <w:szCs w:val="24"/>
              </w:rPr>
              <w:t>All (n=3) previous AFIs removed</w:t>
            </w:r>
          </w:p>
        </w:tc>
        <w:tc>
          <w:tcPr>
            <w:tcW w:w="481" w:type="pct"/>
            <w:vAlign w:val="center"/>
          </w:tcPr>
          <w:p w14:paraId="54787BC6" w14:textId="22024F84" w:rsidR="00500980" w:rsidRPr="00CF6F7B" w:rsidRDefault="00500980" w:rsidP="00401745">
            <w:pPr>
              <w:pStyle w:val="MediumGrid1-Accent21"/>
              <w:spacing w:before="120" w:after="120" w:line="240" w:lineRule="auto"/>
              <w:ind w:left="0"/>
              <w:jc w:val="center"/>
              <w:rPr>
                <w:rFonts w:ascii="Times New Roman" w:hAnsi="Times New Roman"/>
                <w:sz w:val="24"/>
                <w:szCs w:val="24"/>
              </w:rPr>
            </w:pPr>
            <w:r w:rsidRPr="00CF6F7B">
              <w:rPr>
                <w:rFonts w:ascii="Times New Roman" w:hAnsi="Times New Roman"/>
                <w:sz w:val="24"/>
                <w:szCs w:val="24"/>
              </w:rPr>
              <w:t>None</w:t>
            </w:r>
          </w:p>
        </w:tc>
        <w:tc>
          <w:tcPr>
            <w:tcW w:w="912" w:type="pct"/>
            <w:shd w:val="clear" w:color="auto" w:fill="auto"/>
            <w:vAlign w:val="center"/>
          </w:tcPr>
          <w:p w14:paraId="6923F081" w14:textId="54762BBB" w:rsidR="00500980" w:rsidRPr="00CF6F7B" w:rsidRDefault="00500980" w:rsidP="004C71EB">
            <w:pPr>
              <w:pStyle w:val="MediumGrid1-Accent21"/>
              <w:spacing w:before="120" w:after="120" w:line="240" w:lineRule="auto"/>
              <w:ind w:left="0"/>
              <w:jc w:val="center"/>
              <w:rPr>
                <w:rFonts w:ascii="Times New Roman" w:hAnsi="Times New Roman"/>
                <w:sz w:val="24"/>
                <w:szCs w:val="24"/>
              </w:rPr>
            </w:pPr>
            <w:r w:rsidRPr="00CF6F7B">
              <w:rPr>
                <w:rFonts w:ascii="Times New Roman" w:hAnsi="Times New Roman"/>
                <w:sz w:val="24"/>
                <w:szCs w:val="24"/>
              </w:rPr>
              <w:t>None</w:t>
            </w:r>
          </w:p>
        </w:tc>
        <w:tc>
          <w:tcPr>
            <w:tcW w:w="1497" w:type="pct"/>
            <w:vAlign w:val="center"/>
          </w:tcPr>
          <w:p w14:paraId="53D656A5" w14:textId="1A45E5A5" w:rsidR="00500980" w:rsidRPr="00CF6F7B" w:rsidRDefault="00C47881" w:rsidP="00C47881">
            <w:pPr>
              <w:spacing w:before="120" w:after="120"/>
              <w:jc w:val="center"/>
              <w:rPr>
                <w:rFonts w:eastAsia="Calibri"/>
                <w:sz w:val="24"/>
                <w:szCs w:val="24"/>
              </w:rPr>
            </w:pPr>
            <w:r>
              <w:rPr>
                <w:rFonts w:eastAsia="Calibri"/>
                <w:sz w:val="24"/>
                <w:szCs w:val="24"/>
              </w:rPr>
              <w:t>Agreed</w:t>
            </w:r>
          </w:p>
        </w:tc>
      </w:tr>
      <w:tr w:rsidR="00B05624" w:rsidRPr="00CF6F7B" w14:paraId="5A372242" w14:textId="60C6D321" w:rsidTr="00B05624">
        <w:trPr>
          <w:trHeight w:val="1340"/>
        </w:trPr>
        <w:tc>
          <w:tcPr>
            <w:tcW w:w="469" w:type="pct"/>
            <w:vMerge w:val="restart"/>
            <w:shd w:val="clear" w:color="auto" w:fill="auto"/>
            <w:vAlign w:val="center"/>
          </w:tcPr>
          <w:p w14:paraId="21C2F7A3" w14:textId="102A33D8" w:rsidR="00B05624" w:rsidRPr="00CF6F7B" w:rsidRDefault="00B05624" w:rsidP="00500980">
            <w:pPr>
              <w:spacing w:before="120" w:after="120"/>
              <w:jc w:val="center"/>
              <w:rPr>
                <w:rFonts w:eastAsia="Calibri"/>
                <w:b/>
                <w:sz w:val="24"/>
                <w:szCs w:val="24"/>
              </w:rPr>
            </w:pPr>
            <w:r w:rsidRPr="00CF6F7B">
              <w:rPr>
                <w:rFonts w:eastAsia="Calibri"/>
                <w:b/>
                <w:sz w:val="24"/>
                <w:szCs w:val="24"/>
              </w:rPr>
              <w:t>3</w:t>
            </w:r>
          </w:p>
        </w:tc>
        <w:tc>
          <w:tcPr>
            <w:tcW w:w="384" w:type="pct"/>
            <w:vMerge w:val="restart"/>
            <w:shd w:val="clear" w:color="auto" w:fill="auto"/>
            <w:vAlign w:val="center"/>
          </w:tcPr>
          <w:p w14:paraId="4FA2DC84" w14:textId="3E138E3B" w:rsidR="00B05624" w:rsidRPr="00CF6F7B" w:rsidRDefault="00B05624" w:rsidP="00500980">
            <w:pPr>
              <w:spacing w:before="120" w:after="120"/>
              <w:jc w:val="center"/>
              <w:rPr>
                <w:rFonts w:eastAsia="Calibri"/>
                <w:sz w:val="24"/>
                <w:szCs w:val="24"/>
              </w:rPr>
            </w:pPr>
            <w:r w:rsidRPr="00CF6F7B">
              <w:rPr>
                <w:rFonts w:eastAsia="Calibri"/>
                <w:sz w:val="24"/>
                <w:szCs w:val="24"/>
              </w:rPr>
              <w:t>Met</w:t>
            </w:r>
          </w:p>
        </w:tc>
        <w:tc>
          <w:tcPr>
            <w:tcW w:w="595" w:type="pct"/>
            <w:vMerge w:val="restart"/>
            <w:shd w:val="clear" w:color="auto" w:fill="auto"/>
            <w:vAlign w:val="center"/>
          </w:tcPr>
          <w:p w14:paraId="35F2858D" w14:textId="0F444015" w:rsidR="00B05624" w:rsidRPr="00CF6F7B" w:rsidRDefault="00B05624" w:rsidP="00500980">
            <w:pPr>
              <w:spacing w:before="120" w:after="120"/>
              <w:jc w:val="center"/>
              <w:rPr>
                <w:rFonts w:eastAsia="Calibri"/>
                <w:sz w:val="24"/>
                <w:szCs w:val="24"/>
              </w:rPr>
            </w:pPr>
            <w:r w:rsidRPr="00CF6F7B">
              <w:rPr>
                <w:rFonts w:eastAsia="Calibri"/>
                <w:sz w:val="24"/>
                <w:szCs w:val="24"/>
              </w:rPr>
              <w:t>Initial Advanced</w:t>
            </w:r>
          </w:p>
        </w:tc>
        <w:tc>
          <w:tcPr>
            <w:tcW w:w="661" w:type="pct"/>
            <w:vMerge w:val="restart"/>
            <w:vAlign w:val="center"/>
          </w:tcPr>
          <w:p w14:paraId="06BC4F43" w14:textId="635A05DA" w:rsidR="00B05624" w:rsidRPr="00CF6F7B" w:rsidRDefault="00B05624" w:rsidP="00500980">
            <w:pPr>
              <w:pStyle w:val="MediumGrid1-Accent21"/>
              <w:spacing w:before="120" w:after="120" w:line="240" w:lineRule="auto"/>
              <w:ind w:left="0"/>
              <w:jc w:val="center"/>
              <w:rPr>
                <w:rFonts w:ascii="Times New Roman" w:hAnsi="Times New Roman"/>
                <w:sz w:val="24"/>
                <w:szCs w:val="24"/>
              </w:rPr>
            </w:pPr>
            <w:r w:rsidRPr="00CF6F7B">
              <w:rPr>
                <w:rFonts w:ascii="Times New Roman" w:hAnsi="Times New Roman"/>
                <w:sz w:val="24"/>
                <w:szCs w:val="24"/>
              </w:rPr>
              <w:t>All (n=2) previous AFIs removed</w:t>
            </w:r>
          </w:p>
        </w:tc>
        <w:tc>
          <w:tcPr>
            <w:tcW w:w="481" w:type="pct"/>
            <w:vMerge w:val="restart"/>
            <w:vAlign w:val="center"/>
          </w:tcPr>
          <w:p w14:paraId="56C1B8B5" w14:textId="6EBA28AE" w:rsidR="00B05624" w:rsidRPr="00CF6F7B" w:rsidRDefault="00B05624" w:rsidP="00401745">
            <w:pPr>
              <w:pStyle w:val="MediumGrid1-Accent21"/>
              <w:spacing w:before="120" w:after="120" w:line="240" w:lineRule="auto"/>
              <w:ind w:left="0"/>
              <w:jc w:val="center"/>
              <w:rPr>
                <w:rFonts w:ascii="Times New Roman" w:hAnsi="Times New Roman"/>
                <w:sz w:val="24"/>
                <w:szCs w:val="24"/>
              </w:rPr>
            </w:pPr>
            <w:r w:rsidRPr="00CF6F7B">
              <w:rPr>
                <w:rFonts w:ascii="Times New Roman" w:hAnsi="Times New Roman"/>
                <w:sz w:val="24"/>
                <w:szCs w:val="24"/>
              </w:rPr>
              <w:t>None</w:t>
            </w:r>
          </w:p>
        </w:tc>
        <w:tc>
          <w:tcPr>
            <w:tcW w:w="912" w:type="pct"/>
            <w:shd w:val="clear" w:color="auto" w:fill="auto"/>
          </w:tcPr>
          <w:p w14:paraId="33FA44A5" w14:textId="2D3148C7" w:rsidR="00B05624" w:rsidRPr="00CF6F7B" w:rsidRDefault="00B05624" w:rsidP="00401745">
            <w:pPr>
              <w:pStyle w:val="MediumGrid1-Accent21"/>
              <w:spacing w:before="120" w:after="120" w:line="240" w:lineRule="auto"/>
              <w:ind w:left="0"/>
              <w:rPr>
                <w:rFonts w:ascii="Times New Roman" w:hAnsi="Times New Roman"/>
                <w:sz w:val="24"/>
                <w:szCs w:val="24"/>
              </w:rPr>
            </w:pPr>
            <w:r w:rsidRPr="00CF6F7B">
              <w:rPr>
                <w:rFonts w:ascii="Times New Roman" w:hAnsi="Times New Roman"/>
                <w:sz w:val="24"/>
                <w:szCs w:val="24"/>
              </w:rPr>
              <w:t>1. The unit does not ensure clarity of expectations and timelines for the new Core sequence in the initial programs and for the field experiences in the advanced programs among all constituencies. (ITP, ADV)</w:t>
            </w:r>
          </w:p>
        </w:tc>
        <w:tc>
          <w:tcPr>
            <w:tcW w:w="1497" w:type="pct"/>
          </w:tcPr>
          <w:p w14:paraId="12683CA1" w14:textId="05898DA3" w:rsidR="00B05624" w:rsidRPr="00CF6F7B" w:rsidRDefault="00B05624" w:rsidP="00401745">
            <w:pPr>
              <w:spacing w:before="120" w:after="120"/>
              <w:rPr>
                <w:rFonts w:eastAsia="Calibri"/>
                <w:sz w:val="24"/>
                <w:szCs w:val="24"/>
              </w:rPr>
            </w:pPr>
            <w:r w:rsidRPr="00CF6F7B">
              <w:rPr>
                <w:rFonts w:eastAsia="Calibri"/>
                <w:sz w:val="24"/>
                <w:szCs w:val="24"/>
              </w:rPr>
              <w:t xml:space="preserve">a. </w:t>
            </w:r>
            <w:r w:rsidRPr="00CF6F7B">
              <w:rPr>
                <w:rFonts w:eastAsia="Calibri"/>
                <w:sz w:val="24"/>
                <w:szCs w:val="24"/>
                <w:u w:val="single"/>
              </w:rPr>
              <w:t>Initial</w:t>
            </w:r>
            <w:r w:rsidRPr="00CF6F7B">
              <w:rPr>
                <w:rFonts w:eastAsia="Calibri"/>
                <w:sz w:val="24"/>
                <w:szCs w:val="24"/>
              </w:rPr>
              <w:t xml:space="preserve">: We </w:t>
            </w:r>
            <w:r w:rsidR="003C4055" w:rsidRPr="00CF6F7B">
              <w:rPr>
                <w:rFonts w:eastAsia="Calibri"/>
                <w:sz w:val="24"/>
                <w:szCs w:val="24"/>
              </w:rPr>
              <w:t>believe</w:t>
            </w:r>
            <w:r w:rsidRPr="00CF6F7B">
              <w:rPr>
                <w:rFonts w:eastAsia="Calibri"/>
                <w:sz w:val="24"/>
                <w:szCs w:val="24"/>
              </w:rPr>
              <w:t xml:space="preserve"> that the lack of clarity may stem from varied references to </w:t>
            </w:r>
            <w:r w:rsidR="001561AA">
              <w:rPr>
                <w:rFonts w:eastAsia="Calibri"/>
                <w:sz w:val="24"/>
                <w:szCs w:val="24"/>
              </w:rPr>
              <w:t>“</w:t>
            </w:r>
            <w:r w:rsidRPr="00CF6F7B">
              <w:rPr>
                <w:rFonts w:eastAsia="Calibri"/>
                <w:sz w:val="24"/>
                <w:szCs w:val="24"/>
              </w:rPr>
              <w:t>Core</w:t>
            </w:r>
            <w:r w:rsidR="001561AA">
              <w:rPr>
                <w:rFonts w:eastAsia="Calibri"/>
                <w:sz w:val="24"/>
                <w:szCs w:val="24"/>
              </w:rPr>
              <w:t>”</w:t>
            </w:r>
            <w:r w:rsidRPr="00CF6F7B">
              <w:rPr>
                <w:rFonts w:eastAsia="Calibri"/>
                <w:sz w:val="24"/>
                <w:szCs w:val="24"/>
              </w:rPr>
              <w:t xml:space="preserve"> in different contexts and by different constituents. We clarify the distinction between the various references below.</w:t>
            </w:r>
          </w:p>
          <w:p w14:paraId="469E7500" w14:textId="03F81018" w:rsidR="00B05624" w:rsidRPr="00CF6F7B" w:rsidRDefault="00B05624" w:rsidP="00401745">
            <w:pPr>
              <w:spacing w:before="120" w:after="120"/>
              <w:rPr>
                <w:rFonts w:eastAsia="Calibri"/>
                <w:sz w:val="24"/>
                <w:szCs w:val="24"/>
              </w:rPr>
            </w:pPr>
            <w:r w:rsidRPr="00CF6F7B">
              <w:rPr>
                <w:rFonts w:eastAsia="Calibri"/>
                <w:sz w:val="24"/>
                <w:szCs w:val="24"/>
              </w:rPr>
              <w:t xml:space="preserve">b. </w:t>
            </w:r>
            <w:r w:rsidRPr="00CF6F7B">
              <w:rPr>
                <w:rFonts w:eastAsia="Calibri"/>
                <w:sz w:val="24"/>
                <w:szCs w:val="24"/>
                <w:u w:val="single"/>
              </w:rPr>
              <w:t>Advanced</w:t>
            </w:r>
            <w:r w:rsidRPr="00CF6F7B">
              <w:rPr>
                <w:rFonts w:eastAsia="Calibri"/>
                <w:sz w:val="24"/>
                <w:szCs w:val="24"/>
              </w:rPr>
              <w:t xml:space="preserve">: Clinical expectations for the current and newly developed advanced </w:t>
            </w:r>
            <w:r w:rsidR="00404561" w:rsidRPr="00CF6F7B">
              <w:rPr>
                <w:rFonts w:eastAsia="Calibri"/>
                <w:sz w:val="24"/>
                <w:szCs w:val="24"/>
              </w:rPr>
              <w:t>master’s</w:t>
            </w:r>
            <w:r w:rsidRPr="00CF6F7B">
              <w:rPr>
                <w:rFonts w:eastAsia="Calibri"/>
                <w:sz w:val="24"/>
                <w:szCs w:val="24"/>
              </w:rPr>
              <w:t xml:space="preserve"> program remain the same and is embedded within EDU 518</w:t>
            </w:r>
            <w:r w:rsidR="00746F31">
              <w:rPr>
                <w:rFonts w:eastAsia="Calibri"/>
                <w:sz w:val="24"/>
                <w:szCs w:val="24"/>
              </w:rPr>
              <w:t>: Methods of Teaching English Language Learners</w:t>
            </w:r>
            <w:r w:rsidRPr="00CF6F7B">
              <w:rPr>
                <w:rFonts w:eastAsia="Calibri"/>
                <w:sz w:val="24"/>
                <w:szCs w:val="24"/>
              </w:rPr>
              <w:t>.</w:t>
            </w:r>
            <w:r w:rsidR="004A1BCF">
              <w:rPr>
                <w:rFonts w:eastAsia="Calibri"/>
                <w:sz w:val="24"/>
                <w:szCs w:val="24"/>
              </w:rPr>
              <w:t xml:space="preserve"> We provide clarification below in the narrative.</w:t>
            </w:r>
          </w:p>
        </w:tc>
      </w:tr>
      <w:tr w:rsidR="00B05624" w:rsidRPr="00CF6F7B" w14:paraId="6560647C" w14:textId="77777777" w:rsidTr="00B05624">
        <w:trPr>
          <w:trHeight w:val="3486"/>
        </w:trPr>
        <w:tc>
          <w:tcPr>
            <w:tcW w:w="469" w:type="pct"/>
            <w:vMerge/>
            <w:shd w:val="clear" w:color="auto" w:fill="auto"/>
            <w:vAlign w:val="center"/>
          </w:tcPr>
          <w:p w14:paraId="12BF7909" w14:textId="4231209D" w:rsidR="00B05624" w:rsidRPr="00CF6F7B" w:rsidRDefault="00B05624" w:rsidP="00401745">
            <w:pPr>
              <w:spacing w:before="120" w:after="120"/>
              <w:jc w:val="center"/>
              <w:rPr>
                <w:rFonts w:eastAsia="Calibri"/>
                <w:b/>
                <w:sz w:val="24"/>
                <w:szCs w:val="24"/>
              </w:rPr>
            </w:pPr>
          </w:p>
        </w:tc>
        <w:tc>
          <w:tcPr>
            <w:tcW w:w="384" w:type="pct"/>
            <w:vMerge/>
            <w:shd w:val="clear" w:color="auto" w:fill="auto"/>
            <w:vAlign w:val="center"/>
          </w:tcPr>
          <w:p w14:paraId="56931AD8" w14:textId="77777777" w:rsidR="00B05624" w:rsidRPr="00CF6F7B" w:rsidRDefault="00B05624" w:rsidP="00401745">
            <w:pPr>
              <w:spacing w:before="120" w:after="120"/>
              <w:jc w:val="center"/>
              <w:rPr>
                <w:rFonts w:eastAsia="Calibri"/>
                <w:sz w:val="24"/>
                <w:szCs w:val="24"/>
              </w:rPr>
            </w:pPr>
          </w:p>
        </w:tc>
        <w:tc>
          <w:tcPr>
            <w:tcW w:w="595" w:type="pct"/>
            <w:vMerge/>
            <w:shd w:val="clear" w:color="auto" w:fill="auto"/>
            <w:vAlign w:val="center"/>
          </w:tcPr>
          <w:p w14:paraId="6479C2BC" w14:textId="77777777" w:rsidR="00B05624" w:rsidRPr="00CF6F7B" w:rsidRDefault="00B05624" w:rsidP="00401745">
            <w:pPr>
              <w:spacing w:before="120" w:after="120"/>
              <w:jc w:val="center"/>
              <w:rPr>
                <w:rFonts w:eastAsia="Calibri"/>
                <w:sz w:val="24"/>
                <w:szCs w:val="24"/>
              </w:rPr>
            </w:pPr>
          </w:p>
        </w:tc>
        <w:tc>
          <w:tcPr>
            <w:tcW w:w="661" w:type="pct"/>
            <w:vMerge/>
          </w:tcPr>
          <w:p w14:paraId="122B84CD" w14:textId="77777777" w:rsidR="00B05624" w:rsidRPr="00CF6F7B" w:rsidRDefault="00B05624" w:rsidP="00401745">
            <w:pPr>
              <w:pStyle w:val="MediumGrid1-Accent21"/>
              <w:spacing w:before="120" w:after="120" w:line="240" w:lineRule="auto"/>
              <w:ind w:left="0"/>
              <w:rPr>
                <w:rFonts w:ascii="Times New Roman" w:hAnsi="Times New Roman"/>
                <w:sz w:val="24"/>
                <w:szCs w:val="24"/>
              </w:rPr>
            </w:pPr>
          </w:p>
        </w:tc>
        <w:tc>
          <w:tcPr>
            <w:tcW w:w="481" w:type="pct"/>
            <w:vMerge/>
          </w:tcPr>
          <w:p w14:paraId="5453D196" w14:textId="77777777" w:rsidR="00B05624" w:rsidRPr="00CF6F7B" w:rsidRDefault="00B05624" w:rsidP="00401745">
            <w:pPr>
              <w:pStyle w:val="MediumGrid1-Accent21"/>
              <w:spacing w:before="120" w:after="120" w:line="240" w:lineRule="auto"/>
              <w:ind w:left="0"/>
              <w:rPr>
                <w:rFonts w:ascii="Times New Roman" w:hAnsi="Times New Roman"/>
                <w:sz w:val="24"/>
                <w:szCs w:val="24"/>
              </w:rPr>
            </w:pPr>
          </w:p>
        </w:tc>
        <w:tc>
          <w:tcPr>
            <w:tcW w:w="912" w:type="pct"/>
            <w:shd w:val="clear" w:color="auto" w:fill="auto"/>
          </w:tcPr>
          <w:p w14:paraId="2E308036" w14:textId="683C02EC" w:rsidR="00B05624" w:rsidRPr="00CF6F7B" w:rsidRDefault="00B05624" w:rsidP="00401745">
            <w:pPr>
              <w:pStyle w:val="MediumGrid1-Accent21"/>
              <w:spacing w:before="120" w:after="120" w:line="240" w:lineRule="auto"/>
              <w:ind w:left="0"/>
              <w:rPr>
                <w:rFonts w:ascii="Times New Roman" w:hAnsi="Times New Roman"/>
                <w:sz w:val="24"/>
                <w:szCs w:val="24"/>
              </w:rPr>
            </w:pPr>
            <w:r w:rsidRPr="00CF6F7B">
              <w:rPr>
                <w:rFonts w:ascii="Times New Roman" w:hAnsi="Times New Roman"/>
                <w:sz w:val="24"/>
                <w:szCs w:val="24"/>
              </w:rPr>
              <w:t>2. There is no formal structure in place to ensure that the unit’s school partners and other members of the professional community are systematically and regularly involved in the design delivery, and evaluation of field and clinical experiences. (ITP, ADV)</w:t>
            </w:r>
          </w:p>
        </w:tc>
        <w:tc>
          <w:tcPr>
            <w:tcW w:w="1497" w:type="pct"/>
          </w:tcPr>
          <w:p w14:paraId="1FE6693F" w14:textId="3B7899F4" w:rsidR="00B05624" w:rsidRPr="00CF6F7B" w:rsidRDefault="004A1BCF" w:rsidP="00006390">
            <w:pPr>
              <w:spacing w:before="120" w:after="120"/>
              <w:rPr>
                <w:rFonts w:eastAsia="Calibri"/>
                <w:sz w:val="24"/>
                <w:szCs w:val="24"/>
              </w:rPr>
            </w:pPr>
            <w:r>
              <w:rPr>
                <w:rFonts w:eastAsia="Calibri"/>
                <w:sz w:val="24"/>
                <w:szCs w:val="24"/>
              </w:rPr>
              <w:t>Eastern</w:t>
            </w:r>
            <w:r w:rsidRPr="00CF6F7B">
              <w:rPr>
                <w:rFonts w:eastAsia="Calibri"/>
                <w:sz w:val="24"/>
                <w:szCs w:val="24"/>
              </w:rPr>
              <w:t xml:space="preserve"> </w:t>
            </w:r>
            <w:r>
              <w:rPr>
                <w:rFonts w:eastAsia="Calibri"/>
                <w:sz w:val="24"/>
                <w:szCs w:val="24"/>
              </w:rPr>
              <w:t>maintains a</w:t>
            </w:r>
            <w:r w:rsidRPr="00CF6F7B">
              <w:rPr>
                <w:rFonts w:eastAsia="Calibri"/>
                <w:sz w:val="24"/>
                <w:szCs w:val="24"/>
              </w:rPr>
              <w:t xml:space="preserve"> </w:t>
            </w:r>
            <w:r w:rsidR="00B05624" w:rsidRPr="00CF6F7B">
              <w:rPr>
                <w:rFonts w:eastAsia="Calibri"/>
                <w:sz w:val="24"/>
                <w:szCs w:val="24"/>
              </w:rPr>
              <w:t xml:space="preserve">long established formal and informal partnership with P-12 partners with </w:t>
            </w:r>
            <w:r>
              <w:rPr>
                <w:rFonts w:eastAsia="Calibri"/>
                <w:sz w:val="24"/>
                <w:szCs w:val="24"/>
              </w:rPr>
              <w:t xml:space="preserve">both </w:t>
            </w:r>
            <w:r w:rsidR="00B05624" w:rsidRPr="00CF6F7B">
              <w:rPr>
                <w:rFonts w:eastAsia="Calibri"/>
                <w:sz w:val="24"/>
                <w:szCs w:val="24"/>
              </w:rPr>
              <w:t xml:space="preserve">groups meeting informally frequently and </w:t>
            </w:r>
            <w:r>
              <w:rPr>
                <w:rFonts w:eastAsia="Calibri"/>
                <w:sz w:val="24"/>
                <w:szCs w:val="24"/>
              </w:rPr>
              <w:t>meeting f</w:t>
            </w:r>
            <w:r w:rsidR="00B05624" w:rsidRPr="00CF6F7B">
              <w:rPr>
                <w:rFonts w:eastAsia="Calibri"/>
                <w:sz w:val="24"/>
                <w:szCs w:val="24"/>
              </w:rPr>
              <w:t xml:space="preserve">ormally </w:t>
            </w:r>
            <w:r w:rsidR="00006390">
              <w:rPr>
                <w:rFonts w:eastAsia="Calibri"/>
                <w:sz w:val="24"/>
                <w:szCs w:val="24"/>
              </w:rPr>
              <w:t>occasionally</w:t>
            </w:r>
            <w:r>
              <w:rPr>
                <w:rFonts w:eastAsia="Calibri"/>
                <w:sz w:val="24"/>
                <w:szCs w:val="24"/>
              </w:rPr>
              <w:t>.  B</w:t>
            </w:r>
            <w:r w:rsidR="00B05624" w:rsidRPr="00CF6F7B">
              <w:rPr>
                <w:rFonts w:eastAsia="Calibri"/>
                <w:sz w:val="24"/>
                <w:szCs w:val="24"/>
              </w:rPr>
              <w:t xml:space="preserve">oth </w:t>
            </w:r>
            <w:r>
              <w:rPr>
                <w:rFonts w:eastAsia="Calibri"/>
                <w:sz w:val="24"/>
                <w:szCs w:val="24"/>
              </w:rPr>
              <w:t xml:space="preserve">these </w:t>
            </w:r>
            <w:r w:rsidR="00B05624" w:rsidRPr="00CF6F7B">
              <w:rPr>
                <w:rFonts w:eastAsia="Calibri"/>
                <w:sz w:val="24"/>
                <w:szCs w:val="24"/>
              </w:rPr>
              <w:t xml:space="preserve">opportunities have provided regular and systematic feedback </w:t>
            </w:r>
            <w:r>
              <w:rPr>
                <w:rFonts w:eastAsia="Calibri"/>
                <w:sz w:val="24"/>
                <w:szCs w:val="24"/>
              </w:rPr>
              <w:t xml:space="preserve">from the P-12 partners </w:t>
            </w:r>
            <w:r w:rsidR="00B05624" w:rsidRPr="00CF6F7B">
              <w:rPr>
                <w:rFonts w:eastAsia="Calibri"/>
                <w:sz w:val="24"/>
                <w:szCs w:val="24"/>
              </w:rPr>
              <w:t xml:space="preserve">and </w:t>
            </w:r>
            <w:r>
              <w:rPr>
                <w:rFonts w:eastAsia="Calibri"/>
                <w:sz w:val="24"/>
                <w:szCs w:val="24"/>
              </w:rPr>
              <w:t xml:space="preserve">afforded adequate </w:t>
            </w:r>
            <w:r w:rsidR="00B05624" w:rsidRPr="00CF6F7B">
              <w:rPr>
                <w:rFonts w:eastAsia="Calibri"/>
                <w:sz w:val="24"/>
                <w:szCs w:val="24"/>
              </w:rPr>
              <w:t xml:space="preserve">channels for involvement </w:t>
            </w:r>
            <w:r>
              <w:rPr>
                <w:rFonts w:eastAsia="Calibri"/>
                <w:sz w:val="24"/>
                <w:szCs w:val="24"/>
              </w:rPr>
              <w:t>to</w:t>
            </w:r>
            <w:r w:rsidRPr="00CF6F7B">
              <w:rPr>
                <w:rFonts w:eastAsia="Calibri"/>
                <w:sz w:val="24"/>
                <w:szCs w:val="24"/>
              </w:rPr>
              <w:t xml:space="preserve"> </w:t>
            </w:r>
            <w:r w:rsidR="00B05624" w:rsidRPr="00CF6F7B">
              <w:rPr>
                <w:rFonts w:eastAsia="Calibri"/>
                <w:sz w:val="24"/>
                <w:szCs w:val="24"/>
              </w:rPr>
              <w:t>the P-12 community.</w:t>
            </w:r>
            <w:r w:rsidR="003C4055" w:rsidRPr="00CF6F7B">
              <w:rPr>
                <w:rFonts w:eastAsia="Calibri"/>
                <w:sz w:val="24"/>
                <w:szCs w:val="24"/>
              </w:rPr>
              <w:t xml:space="preserve">  More detail and our current plans to further this relationship (</w:t>
            </w:r>
            <w:r>
              <w:rPr>
                <w:rFonts w:eastAsia="Calibri"/>
                <w:sz w:val="24"/>
                <w:szCs w:val="24"/>
              </w:rPr>
              <w:t xml:space="preserve">also </w:t>
            </w:r>
            <w:r w:rsidR="003C4055" w:rsidRPr="00CF6F7B">
              <w:rPr>
                <w:rFonts w:eastAsia="Calibri"/>
                <w:sz w:val="24"/>
                <w:szCs w:val="24"/>
              </w:rPr>
              <w:t xml:space="preserve">shared with the visiting team) </w:t>
            </w:r>
            <w:r>
              <w:rPr>
                <w:rFonts w:eastAsia="Calibri"/>
                <w:sz w:val="24"/>
                <w:szCs w:val="24"/>
              </w:rPr>
              <w:t>are</w:t>
            </w:r>
            <w:r w:rsidRPr="00CF6F7B">
              <w:rPr>
                <w:rFonts w:eastAsia="Calibri"/>
                <w:sz w:val="24"/>
                <w:szCs w:val="24"/>
              </w:rPr>
              <w:t xml:space="preserve"> </w:t>
            </w:r>
            <w:r w:rsidR="003C4055" w:rsidRPr="00CF6F7B">
              <w:rPr>
                <w:rFonts w:eastAsia="Calibri"/>
                <w:sz w:val="24"/>
                <w:szCs w:val="24"/>
              </w:rPr>
              <w:t>outlined below.</w:t>
            </w:r>
          </w:p>
        </w:tc>
      </w:tr>
      <w:tr w:rsidR="00B05624" w:rsidRPr="00CF6F7B" w14:paraId="32F50240" w14:textId="77777777" w:rsidTr="00B05624">
        <w:tc>
          <w:tcPr>
            <w:tcW w:w="469" w:type="pct"/>
            <w:shd w:val="clear" w:color="auto" w:fill="auto"/>
            <w:vAlign w:val="center"/>
          </w:tcPr>
          <w:p w14:paraId="2C7E3F7D" w14:textId="71E0533E" w:rsidR="00500980" w:rsidRPr="00CF6F7B" w:rsidRDefault="00500980" w:rsidP="00401745">
            <w:pPr>
              <w:spacing w:before="120" w:after="120"/>
              <w:jc w:val="center"/>
              <w:rPr>
                <w:rFonts w:eastAsia="Calibri"/>
                <w:b/>
                <w:sz w:val="24"/>
                <w:szCs w:val="24"/>
              </w:rPr>
            </w:pPr>
            <w:r w:rsidRPr="00CF6F7B">
              <w:rPr>
                <w:rFonts w:eastAsia="Calibri"/>
                <w:b/>
                <w:sz w:val="24"/>
                <w:szCs w:val="24"/>
              </w:rPr>
              <w:t>4</w:t>
            </w:r>
          </w:p>
        </w:tc>
        <w:tc>
          <w:tcPr>
            <w:tcW w:w="384" w:type="pct"/>
            <w:shd w:val="clear" w:color="auto" w:fill="auto"/>
            <w:vAlign w:val="center"/>
          </w:tcPr>
          <w:p w14:paraId="02566AFE" w14:textId="02BE7A4C" w:rsidR="00500980" w:rsidRPr="00CF6F7B" w:rsidRDefault="00500980" w:rsidP="00401745">
            <w:pPr>
              <w:spacing w:before="120" w:after="120"/>
              <w:jc w:val="center"/>
              <w:rPr>
                <w:rFonts w:eastAsia="Calibri"/>
                <w:sz w:val="24"/>
                <w:szCs w:val="24"/>
              </w:rPr>
            </w:pPr>
            <w:r w:rsidRPr="00CF6F7B">
              <w:rPr>
                <w:rFonts w:eastAsia="Calibri"/>
                <w:sz w:val="24"/>
                <w:szCs w:val="24"/>
              </w:rPr>
              <w:t>Met</w:t>
            </w:r>
          </w:p>
        </w:tc>
        <w:tc>
          <w:tcPr>
            <w:tcW w:w="595" w:type="pct"/>
            <w:shd w:val="clear" w:color="auto" w:fill="auto"/>
            <w:vAlign w:val="center"/>
          </w:tcPr>
          <w:p w14:paraId="485337D0" w14:textId="30CEAA8C" w:rsidR="00500980" w:rsidRPr="00CF6F7B" w:rsidRDefault="00500980" w:rsidP="00401745">
            <w:pPr>
              <w:spacing w:before="120" w:after="120"/>
              <w:jc w:val="center"/>
              <w:rPr>
                <w:rFonts w:eastAsia="Calibri"/>
                <w:sz w:val="24"/>
                <w:szCs w:val="24"/>
              </w:rPr>
            </w:pPr>
            <w:r w:rsidRPr="00CF6F7B">
              <w:rPr>
                <w:rFonts w:eastAsia="Calibri"/>
                <w:sz w:val="24"/>
                <w:szCs w:val="24"/>
              </w:rPr>
              <w:t>Initial Advanced</w:t>
            </w:r>
          </w:p>
        </w:tc>
        <w:tc>
          <w:tcPr>
            <w:tcW w:w="661" w:type="pct"/>
            <w:vAlign w:val="center"/>
          </w:tcPr>
          <w:p w14:paraId="4E0D1837" w14:textId="5B7D2C60" w:rsidR="00500980" w:rsidRPr="00CF6F7B" w:rsidRDefault="00500980" w:rsidP="00401745">
            <w:pPr>
              <w:pStyle w:val="MediumGrid1-Accent21"/>
              <w:spacing w:before="120" w:after="120" w:line="240" w:lineRule="auto"/>
              <w:ind w:left="0"/>
              <w:jc w:val="center"/>
              <w:rPr>
                <w:rFonts w:ascii="Times New Roman" w:hAnsi="Times New Roman"/>
                <w:sz w:val="24"/>
                <w:szCs w:val="24"/>
              </w:rPr>
            </w:pPr>
            <w:r w:rsidRPr="00CF6F7B">
              <w:rPr>
                <w:rFonts w:ascii="Times New Roman" w:hAnsi="Times New Roman"/>
                <w:sz w:val="24"/>
                <w:szCs w:val="24"/>
              </w:rPr>
              <w:t>All (n=3) previous AFIs removed</w:t>
            </w:r>
          </w:p>
        </w:tc>
        <w:tc>
          <w:tcPr>
            <w:tcW w:w="481" w:type="pct"/>
            <w:vAlign w:val="center"/>
          </w:tcPr>
          <w:p w14:paraId="3C384367" w14:textId="7200BCAE" w:rsidR="00500980" w:rsidRPr="00CF6F7B" w:rsidRDefault="00500980" w:rsidP="00401745">
            <w:pPr>
              <w:pStyle w:val="MediumGrid1-Accent21"/>
              <w:spacing w:before="120" w:after="120" w:line="240" w:lineRule="auto"/>
              <w:ind w:left="0"/>
              <w:jc w:val="center"/>
              <w:rPr>
                <w:rFonts w:ascii="Times New Roman" w:hAnsi="Times New Roman"/>
                <w:sz w:val="24"/>
                <w:szCs w:val="24"/>
              </w:rPr>
            </w:pPr>
            <w:r w:rsidRPr="00CF6F7B">
              <w:rPr>
                <w:rFonts w:ascii="Times New Roman" w:hAnsi="Times New Roman"/>
                <w:sz w:val="24"/>
                <w:szCs w:val="24"/>
              </w:rPr>
              <w:t>None</w:t>
            </w:r>
          </w:p>
        </w:tc>
        <w:tc>
          <w:tcPr>
            <w:tcW w:w="912" w:type="pct"/>
            <w:shd w:val="clear" w:color="auto" w:fill="auto"/>
            <w:vAlign w:val="center"/>
          </w:tcPr>
          <w:p w14:paraId="3B91007B" w14:textId="2E9C460E" w:rsidR="00500980" w:rsidRPr="00CF6F7B" w:rsidRDefault="00500980" w:rsidP="00401745">
            <w:pPr>
              <w:pStyle w:val="MediumGrid1-Accent21"/>
              <w:spacing w:before="120" w:after="120" w:line="240" w:lineRule="auto"/>
              <w:ind w:left="0"/>
              <w:jc w:val="center"/>
              <w:rPr>
                <w:rFonts w:ascii="Times New Roman" w:hAnsi="Times New Roman"/>
                <w:sz w:val="24"/>
                <w:szCs w:val="24"/>
              </w:rPr>
            </w:pPr>
            <w:r w:rsidRPr="00CF6F7B">
              <w:rPr>
                <w:rFonts w:ascii="Times New Roman" w:hAnsi="Times New Roman"/>
                <w:sz w:val="24"/>
                <w:szCs w:val="24"/>
              </w:rPr>
              <w:t>None</w:t>
            </w:r>
          </w:p>
        </w:tc>
        <w:tc>
          <w:tcPr>
            <w:tcW w:w="1497" w:type="pct"/>
            <w:vAlign w:val="center"/>
          </w:tcPr>
          <w:p w14:paraId="698BCAEE" w14:textId="06C41868" w:rsidR="00500980" w:rsidRPr="00CF6F7B" w:rsidRDefault="003644FC" w:rsidP="00401745">
            <w:pPr>
              <w:spacing w:before="120" w:after="120"/>
              <w:jc w:val="center"/>
              <w:rPr>
                <w:rFonts w:eastAsia="Calibri"/>
                <w:sz w:val="24"/>
                <w:szCs w:val="24"/>
              </w:rPr>
            </w:pPr>
            <w:r>
              <w:rPr>
                <w:rFonts w:eastAsia="Calibri"/>
                <w:sz w:val="24"/>
                <w:szCs w:val="24"/>
              </w:rPr>
              <w:t>Agreed</w:t>
            </w:r>
          </w:p>
        </w:tc>
      </w:tr>
      <w:tr w:rsidR="00B05624" w:rsidRPr="00CF6F7B" w14:paraId="73F27DBB" w14:textId="77777777" w:rsidTr="00B05624">
        <w:tc>
          <w:tcPr>
            <w:tcW w:w="469" w:type="pct"/>
            <w:shd w:val="clear" w:color="auto" w:fill="auto"/>
            <w:vAlign w:val="center"/>
          </w:tcPr>
          <w:p w14:paraId="13A5A7BD" w14:textId="6C1C4A05" w:rsidR="00500980" w:rsidRPr="00CF6F7B" w:rsidRDefault="00500980" w:rsidP="00401745">
            <w:pPr>
              <w:spacing w:before="120" w:after="120"/>
              <w:jc w:val="center"/>
              <w:rPr>
                <w:rFonts w:eastAsia="Calibri"/>
                <w:b/>
                <w:sz w:val="24"/>
                <w:szCs w:val="24"/>
              </w:rPr>
            </w:pPr>
            <w:r w:rsidRPr="00CF6F7B">
              <w:rPr>
                <w:rFonts w:eastAsia="Calibri"/>
                <w:b/>
                <w:sz w:val="24"/>
                <w:szCs w:val="24"/>
              </w:rPr>
              <w:t>5</w:t>
            </w:r>
          </w:p>
        </w:tc>
        <w:tc>
          <w:tcPr>
            <w:tcW w:w="384" w:type="pct"/>
            <w:shd w:val="clear" w:color="auto" w:fill="auto"/>
            <w:vAlign w:val="center"/>
          </w:tcPr>
          <w:p w14:paraId="5520ABF7" w14:textId="0A167D2B" w:rsidR="00500980" w:rsidRPr="00CF6F7B" w:rsidRDefault="00500980" w:rsidP="00401745">
            <w:pPr>
              <w:spacing w:before="120" w:after="120"/>
              <w:jc w:val="center"/>
              <w:rPr>
                <w:rFonts w:eastAsia="Calibri"/>
                <w:sz w:val="24"/>
                <w:szCs w:val="24"/>
              </w:rPr>
            </w:pPr>
            <w:r w:rsidRPr="00CF6F7B">
              <w:rPr>
                <w:rFonts w:eastAsia="Calibri"/>
                <w:sz w:val="24"/>
                <w:szCs w:val="24"/>
              </w:rPr>
              <w:t>Met</w:t>
            </w:r>
          </w:p>
        </w:tc>
        <w:tc>
          <w:tcPr>
            <w:tcW w:w="595" w:type="pct"/>
            <w:shd w:val="clear" w:color="auto" w:fill="auto"/>
            <w:vAlign w:val="center"/>
          </w:tcPr>
          <w:p w14:paraId="6172064F" w14:textId="1BCC9990" w:rsidR="00500980" w:rsidRPr="00CF6F7B" w:rsidRDefault="00500980" w:rsidP="00401745">
            <w:pPr>
              <w:spacing w:before="120" w:after="120"/>
              <w:jc w:val="center"/>
              <w:rPr>
                <w:rFonts w:eastAsia="Calibri"/>
                <w:sz w:val="24"/>
                <w:szCs w:val="24"/>
              </w:rPr>
            </w:pPr>
            <w:r w:rsidRPr="00CF6F7B">
              <w:rPr>
                <w:rFonts w:eastAsia="Calibri"/>
                <w:sz w:val="24"/>
                <w:szCs w:val="24"/>
              </w:rPr>
              <w:t>Initial Advanced</w:t>
            </w:r>
          </w:p>
        </w:tc>
        <w:tc>
          <w:tcPr>
            <w:tcW w:w="661" w:type="pct"/>
            <w:vAlign w:val="center"/>
          </w:tcPr>
          <w:p w14:paraId="6F889E1D" w14:textId="132BF2F8" w:rsidR="00500980" w:rsidRPr="00CF6F7B" w:rsidRDefault="00500980" w:rsidP="00401745">
            <w:pPr>
              <w:pStyle w:val="MediumGrid1-Accent21"/>
              <w:spacing w:before="120" w:after="120" w:line="240" w:lineRule="auto"/>
              <w:ind w:left="0"/>
              <w:jc w:val="center"/>
              <w:rPr>
                <w:rFonts w:ascii="Times New Roman" w:hAnsi="Times New Roman"/>
                <w:sz w:val="24"/>
                <w:szCs w:val="24"/>
              </w:rPr>
            </w:pPr>
            <w:r w:rsidRPr="00CF6F7B">
              <w:rPr>
                <w:rFonts w:ascii="Times New Roman" w:hAnsi="Times New Roman"/>
                <w:sz w:val="24"/>
                <w:szCs w:val="24"/>
              </w:rPr>
              <w:t>No previous AFI</w:t>
            </w:r>
          </w:p>
        </w:tc>
        <w:tc>
          <w:tcPr>
            <w:tcW w:w="481" w:type="pct"/>
            <w:vAlign w:val="center"/>
          </w:tcPr>
          <w:p w14:paraId="771BA708" w14:textId="1814DCC7" w:rsidR="00500980" w:rsidRPr="00CF6F7B" w:rsidRDefault="00500980" w:rsidP="00401745">
            <w:pPr>
              <w:pStyle w:val="MediumGrid1-Accent21"/>
              <w:spacing w:before="120" w:after="120" w:line="240" w:lineRule="auto"/>
              <w:ind w:left="0"/>
              <w:jc w:val="center"/>
              <w:rPr>
                <w:rFonts w:ascii="Times New Roman" w:hAnsi="Times New Roman"/>
                <w:sz w:val="24"/>
                <w:szCs w:val="24"/>
              </w:rPr>
            </w:pPr>
            <w:r w:rsidRPr="00CF6F7B">
              <w:rPr>
                <w:rFonts w:ascii="Times New Roman" w:hAnsi="Times New Roman"/>
                <w:sz w:val="24"/>
                <w:szCs w:val="24"/>
              </w:rPr>
              <w:t>None</w:t>
            </w:r>
          </w:p>
        </w:tc>
        <w:tc>
          <w:tcPr>
            <w:tcW w:w="912" w:type="pct"/>
            <w:shd w:val="clear" w:color="auto" w:fill="auto"/>
            <w:vAlign w:val="center"/>
          </w:tcPr>
          <w:p w14:paraId="6E68EDE5" w14:textId="7366791C" w:rsidR="00500980" w:rsidRPr="00CF6F7B" w:rsidRDefault="00500980" w:rsidP="00401745">
            <w:pPr>
              <w:pStyle w:val="MediumGrid1-Accent21"/>
              <w:spacing w:before="120" w:after="120" w:line="240" w:lineRule="auto"/>
              <w:ind w:left="0"/>
              <w:jc w:val="center"/>
              <w:rPr>
                <w:rFonts w:ascii="Times New Roman" w:hAnsi="Times New Roman"/>
                <w:sz w:val="24"/>
                <w:szCs w:val="24"/>
              </w:rPr>
            </w:pPr>
            <w:r w:rsidRPr="00CF6F7B">
              <w:rPr>
                <w:rFonts w:ascii="Times New Roman" w:hAnsi="Times New Roman"/>
                <w:sz w:val="24"/>
                <w:szCs w:val="24"/>
              </w:rPr>
              <w:t>None</w:t>
            </w:r>
          </w:p>
        </w:tc>
        <w:tc>
          <w:tcPr>
            <w:tcW w:w="1497" w:type="pct"/>
            <w:vAlign w:val="center"/>
          </w:tcPr>
          <w:p w14:paraId="7BCFF4E2" w14:textId="32265A42" w:rsidR="00500980" w:rsidRPr="00CF6F7B" w:rsidRDefault="000447E9" w:rsidP="00401745">
            <w:pPr>
              <w:spacing w:before="120" w:after="120"/>
              <w:jc w:val="center"/>
              <w:rPr>
                <w:rFonts w:eastAsia="Calibri"/>
                <w:sz w:val="24"/>
                <w:szCs w:val="24"/>
              </w:rPr>
            </w:pPr>
            <w:r>
              <w:rPr>
                <w:rFonts w:eastAsia="Calibri"/>
                <w:sz w:val="24"/>
                <w:szCs w:val="24"/>
              </w:rPr>
              <w:t>Agreed</w:t>
            </w:r>
          </w:p>
        </w:tc>
      </w:tr>
      <w:tr w:rsidR="00B05624" w:rsidRPr="00CF6F7B" w14:paraId="4E822636" w14:textId="77777777" w:rsidTr="00B05624">
        <w:tc>
          <w:tcPr>
            <w:tcW w:w="469" w:type="pct"/>
            <w:shd w:val="clear" w:color="auto" w:fill="auto"/>
            <w:vAlign w:val="center"/>
          </w:tcPr>
          <w:p w14:paraId="234F235E" w14:textId="64A51051" w:rsidR="00500980" w:rsidRPr="00CF6F7B" w:rsidRDefault="00500980" w:rsidP="00401745">
            <w:pPr>
              <w:spacing w:before="120" w:after="120"/>
              <w:jc w:val="center"/>
              <w:rPr>
                <w:rFonts w:eastAsia="Calibri"/>
                <w:b/>
                <w:sz w:val="24"/>
                <w:szCs w:val="24"/>
              </w:rPr>
            </w:pPr>
            <w:r w:rsidRPr="00CF6F7B">
              <w:rPr>
                <w:rFonts w:eastAsia="Calibri"/>
                <w:b/>
                <w:sz w:val="24"/>
                <w:szCs w:val="24"/>
              </w:rPr>
              <w:t>6</w:t>
            </w:r>
          </w:p>
        </w:tc>
        <w:tc>
          <w:tcPr>
            <w:tcW w:w="384" w:type="pct"/>
            <w:shd w:val="clear" w:color="auto" w:fill="auto"/>
            <w:vAlign w:val="center"/>
          </w:tcPr>
          <w:p w14:paraId="2E0C892B" w14:textId="2B6FE5B1" w:rsidR="00500980" w:rsidRPr="00CF6F7B" w:rsidRDefault="00500980" w:rsidP="00401745">
            <w:pPr>
              <w:spacing w:before="120" w:after="120"/>
              <w:jc w:val="center"/>
              <w:rPr>
                <w:rFonts w:eastAsia="Calibri"/>
                <w:sz w:val="24"/>
                <w:szCs w:val="24"/>
              </w:rPr>
            </w:pPr>
            <w:r w:rsidRPr="00CF6F7B">
              <w:rPr>
                <w:rFonts w:eastAsia="Calibri"/>
                <w:sz w:val="24"/>
                <w:szCs w:val="24"/>
              </w:rPr>
              <w:t>Met</w:t>
            </w:r>
          </w:p>
        </w:tc>
        <w:tc>
          <w:tcPr>
            <w:tcW w:w="595" w:type="pct"/>
            <w:shd w:val="clear" w:color="auto" w:fill="auto"/>
            <w:vAlign w:val="center"/>
          </w:tcPr>
          <w:p w14:paraId="31F6FD0E" w14:textId="7ECB9136" w:rsidR="00500980" w:rsidRPr="00CF6F7B" w:rsidRDefault="00500980" w:rsidP="00401745">
            <w:pPr>
              <w:spacing w:before="120" w:after="120"/>
              <w:jc w:val="center"/>
              <w:rPr>
                <w:rFonts w:eastAsia="Calibri"/>
                <w:sz w:val="24"/>
                <w:szCs w:val="24"/>
              </w:rPr>
            </w:pPr>
            <w:r w:rsidRPr="00CF6F7B">
              <w:rPr>
                <w:rFonts w:eastAsia="Calibri"/>
                <w:sz w:val="24"/>
                <w:szCs w:val="24"/>
              </w:rPr>
              <w:t>Initial Advanced</w:t>
            </w:r>
          </w:p>
        </w:tc>
        <w:tc>
          <w:tcPr>
            <w:tcW w:w="661" w:type="pct"/>
            <w:vAlign w:val="center"/>
          </w:tcPr>
          <w:p w14:paraId="6B56D208" w14:textId="41DA1D47" w:rsidR="00500980" w:rsidRPr="00CF6F7B" w:rsidRDefault="00500980" w:rsidP="00401745">
            <w:pPr>
              <w:pStyle w:val="MediumGrid1-Accent21"/>
              <w:spacing w:before="120" w:after="120" w:line="240" w:lineRule="auto"/>
              <w:ind w:left="0"/>
              <w:jc w:val="center"/>
              <w:rPr>
                <w:rFonts w:ascii="Times New Roman" w:hAnsi="Times New Roman"/>
                <w:sz w:val="24"/>
                <w:szCs w:val="24"/>
              </w:rPr>
            </w:pPr>
            <w:r w:rsidRPr="00CF6F7B">
              <w:rPr>
                <w:rFonts w:ascii="Times New Roman" w:hAnsi="Times New Roman"/>
                <w:sz w:val="24"/>
                <w:szCs w:val="24"/>
              </w:rPr>
              <w:t>All (n=2) previous AFIs removed</w:t>
            </w:r>
          </w:p>
        </w:tc>
        <w:tc>
          <w:tcPr>
            <w:tcW w:w="481" w:type="pct"/>
            <w:vAlign w:val="center"/>
          </w:tcPr>
          <w:p w14:paraId="7CC475D6" w14:textId="67A2013D" w:rsidR="00500980" w:rsidRPr="00CF6F7B" w:rsidRDefault="00500980" w:rsidP="00401745">
            <w:pPr>
              <w:pStyle w:val="MediumGrid1-Accent21"/>
              <w:spacing w:before="120" w:after="120" w:line="240" w:lineRule="auto"/>
              <w:ind w:left="0"/>
              <w:jc w:val="center"/>
              <w:rPr>
                <w:rFonts w:ascii="Times New Roman" w:hAnsi="Times New Roman"/>
                <w:sz w:val="24"/>
                <w:szCs w:val="24"/>
              </w:rPr>
            </w:pPr>
            <w:r w:rsidRPr="00CF6F7B">
              <w:rPr>
                <w:rFonts w:ascii="Times New Roman" w:hAnsi="Times New Roman"/>
                <w:sz w:val="24"/>
                <w:szCs w:val="24"/>
              </w:rPr>
              <w:t>None</w:t>
            </w:r>
          </w:p>
        </w:tc>
        <w:tc>
          <w:tcPr>
            <w:tcW w:w="912" w:type="pct"/>
            <w:shd w:val="clear" w:color="auto" w:fill="auto"/>
            <w:vAlign w:val="center"/>
          </w:tcPr>
          <w:p w14:paraId="17E9998A" w14:textId="4D165E38" w:rsidR="00500980" w:rsidRPr="00CF6F7B" w:rsidRDefault="00500980" w:rsidP="00401745">
            <w:pPr>
              <w:pStyle w:val="MediumGrid1-Accent21"/>
              <w:spacing w:before="120" w:after="120" w:line="240" w:lineRule="auto"/>
              <w:ind w:left="0"/>
              <w:jc w:val="center"/>
              <w:rPr>
                <w:rFonts w:ascii="Times New Roman" w:hAnsi="Times New Roman"/>
                <w:sz w:val="24"/>
                <w:szCs w:val="24"/>
              </w:rPr>
            </w:pPr>
            <w:r w:rsidRPr="00CF6F7B">
              <w:rPr>
                <w:rFonts w:ascii="Times New Roman" w:hAnsi="Times New Roman"/>
                <w:sz w:val="24"/>
                <w:szCs w:val="24"/>
              </w:rPr>
              <w:t>None</w:t>
            </w:r>
          </w:p>
        </w:tc>
        <w:tc>
          <w:tcPr>
            <w:tcW w:w="1497" w:type="pct"/>
            <w:vAlign w:val="center"/>
          </w:tcPr>
          <w:p w14:paraId="527ADD21" w14:textId="3F49767E" w:rsidR="00500980" w:rsidRPr="00CF6F7B" w:rsidRDefault="000447E9" w:rsidP="00401745">
            <w:pPr>
              <w:spacing w:before="120" w:after="120"/>
              <w:jc w:val="center"/>
              <w:rPr>
                <w:rFonts w:eastAsia="Calibri"/>
                <w:sz w:val="24"/>
                <w:szCs w:val="24"/>
              </w:rPr>
            </w:pPr>
            <w:r>
              <w:rPr>
                <w:rFonts w:eastAsia="Calibri"/>
                <w:sz w:val="24"/>
                <w:szCs w:val="24"/>
              </w:rPr>
              <w:t>Agreed</w:t>
            </w:r>
          </w:p>
        </w:tc>
      </w:tr>
    </w:tbl>
    <w:p w14:paraId="4EB0B2E9" w14:textId="75BEA2AC" w:rsidR="0062784D" w:rsidRPr="00CF6F7B" w:rsidRDefault="0062784D" w:rsidP="005A0141">
      <w:pPr>
        <w:pStyle w:val="Heading2"/>
        <w:spacing w:before="120" w:after="120"/>
        <w:rPr>
          <w:sz w:val="24"/>
          <w:szCs w:val="24"/>
        </w:rPr>
      </w:pPr>
    </w:p>
    <w:p w14:paraId="6BCC7A05" w14:textId="77777777" w:rsidR="00010B9B" w:rsidRPr="00CF6F7B" w:rsidRDefault="00010B9B" w:rsidP="005A0141">
      <w:pPr>
        <w:spacing w:before="120" w:after="120"/>
        <w:ind w:left="720"/>
        <w:rPr>
          <w:sz w:val="24"/>
          <w:szCs w:val="24"/>
        </w:rPr>
        <w:sectPr w:rsidR="00010B9B" w:rsidRPr="00CF6F7B" w:rsidSect="000F62C9">
          <w:pgSz w:w="15840" w:h="12240" w:orient="landscape"/>
          <w:pgMar w:top="1440" w:right="1440" w:bottom="1440" w:left="1440" w:header="720" w:footer="720" w:gutter="0"/>
          <w:cols w:space="720"/>
          <w:docGrid w:linePitch="299"/>
        </w:sectPr>
      </w:pPr>
      <w:bookmarkStart w:id="1" w:name="_Toc282610184"/>
      <w:bookmarkStart w:id="2" w:name="_Toc204071430"/>
    </w:p>
    <w:p w14:paraId="70ADCAF6" w14:textId="77777777" w:rsidR="005D3192" w:rsidRPr="00CF6F7B" w:rsidRDefault="005D3192" w:rsidP="00A13491">
      <w:pPr>
        <w:pStyle w:val="Heading2"/>
        <w:spacing w:before="120" w:after="120"/>
        <w:jc w:val="center"/>
        <w:rPr>
          <w:sz w:val="24"/>
          <w:szCs w:val="24"/>
        </w:rPr>
      </w:pPr>
      <w:r w:rsidRPr="00CF6F7B">
        <w:rPr>
          <w:sz w:val="24"/>
          <w:szCs w:val="24"/>
        </w:rPr>
        <w:t>Standard 1</w:t>
      </w:r>
    </w:p>
    <w:p w14:paraId="60027171" w14:textId="23B66D46" w:rsidR="005D3192" w:rsidRPr="00CF6F7B" w:rsidRDefault="00E55CD3" w:rsidP="005D3192">
      <w:pPr>
        <w:pStyle w:val="Heading2"/>
        <w:spacing w:before="120" w:after="120"/>
        <w:ind w:firstLine="720"/>
        <w:rPr>
          <w:b w:val="0"/>
          <w:sz w:val="24"/>
          <w:szCs w:val="24"/>
        </w:rPr>
      </w:pPr>
      <w:r w:rsidRPr="00CF6F7B">
        <w:rPr>
          <w:b w:val="0"/>
          <w:sz w:val="24"/>
          <w:szCs w:val="24"/>
        </w:rPr>
        <w:t>The BOE report recom</w:t>
      </w:r>
      <w:r w:rsidR="000447E9">
        <w:rPr>
          <w:b w:val="0"/>
          <w:sz w:val="24"/>
          <w:szCs w:val="24"/>
        </w:rPr>
        <w:t xml:space="preserve">mends that this standard </w:t>
      </w:r>
      <w:r w:rsidR="00EE43F7">
        <w:rPr>
          <w:b w:val="0"/>
          <w:sz w:val="24"/>
          <w:szCs w:val="24"/>
        </w:rPr>
        <w:t>is</w:t>
      </w:r>
      <w:r w:rsidR="0074586B" w:rsidRPr="00CF6F7B">
        <w:rPr>
          <w:b w:val="0"/>
          <w:sz w:val="24"/>
          <w:szCs w:val="24"/>
        </w:rPr>
        <w:t xml:space="preserve"> </w:t>
      </w:r>
      <w:r w:rsidR="00F16340" w:rsidRPr="00CF6F7B">
        <w:rPr>
          <w:b w:val="0"/>
          <w:sz w:val="24"/>
          <w:szCs w:val="24"/>
        </w:rPr>
        <w:t xml:space="preserve">MET, </w:t>
      </w:r>
      <w:r w:rsidR="005B5579" w:rsidRPr="00CF6F7B">
        <w:rPr>
          <w:b w:val="0"/>
          <w:sz w:val="24"/>
          <w:szCs w:val="24"/>
        </w:rPr>
        <w:t xml:space="preserve">with all previous AFIs removed, </w:t>
      </w:r>
      <w:r w:rsidR="00F16340" w:rsidRPr="00CF6F7B">
        <w:rPr>
          <w:b w:val="0"/>
          <w:sz w:val="24"/>
          <w:szCs w:val="24"/>
        </w:rPr>
        <w:t>citing</w:t>
      </w:r>
      <w:r w:rsidRPr="00CF6F7B">
        <w:rPr>
          <w:b w:val="0"/>
          <w:sz w:val="24"/>
          <w:szCs w:val="24"/>
        </w:rPr>
        <w:t xml:space="preserve"> </w:t>
      </w:r>
      <w:r w:rsidR="001D0C06">
        <w:rPr>
          <w:b w:val="0"/>
          <w:sz w:val="24"/>
          <w:szCs w:val="24"/>
        </w:rPr>
        <w:t xml:space="preserve">that </w:t>
      </w:r>
      <w:r w:rsidRPr="00CF6F7B">
        <w:rPr>
          <w:b w:val="0"/>
          <w:sz w:val="24"/>
          <w:szCs w:val="24"/>
        </w:rPr>
        <w:t xml:space="preserve">the evidence </w:t>
      </w:r>
      <w:r w:rsidR="00F16340" w:rsidRPr="00CF6F7B">
        <w:rPr>
          <w:b w:val="0"/>
          <w:sz w:val="24"/>
          <w:szCs w:val="24"/>
        </w:rPr>
        <w:t xml:space="preserve">presented attests </w:t>
      </w:r>
      <w:r w:rsidR="005B5579" w:rsidRPr="00CF6F7B">
        <w:rPr>
          <w:b w:val="0"/>
          <w:sz w:val="24"/>
          <w:szCs w:val="24"/>
        </w:rPr>
        <w:t xml:space="preserve">distinctly </w:t>
      </w:r>
      <w:r w:rsidR="00F16340" w:rsidRPr="00CF6F7B">
        <w:rPr>
          <w:b w:val="0"/>
          <w:sz w:val="24"/>
          <w:szCs w:val="24"/>
        </w:rPr>
        <w:t>to</w:t>
      </w:r>
      <w:r w:rsidRPr="00CF6F7B">
        <w:rPr>
          <w:b w:val="0"/>
          <w:sz w:val="24"/>
          <w:szCs w:val="24"/>
        </w:rPr>
        <w:t xml:space="preserve"> our </w:t>
      </w:r>
      <w:r w:rsidR="005B5579" w:rsidRPr="00CF6F7B">
        <w:rPr>
          <w:b w:val="0"/>
          <w:sz w:val="24"/>
          <w:szCs w:val="24"/>
        </w:rPr>
        <w:t xml:space="preserve">initial and advanced </w:t>
      </w:r>
      <w:r w:rsidRPr="00CF6F7B">
        <w:rPr>
          <w:b w:val="0"/>
          <w:sz w:val="24"/>
          <w:szCs w:val="24"/>
        </w:rPr>
        <w:t>candidates’ knowl</w:t>
      </w:r>
      <w:r w:rsidR="00623FA2">
        <w:rPr>
          <w:b w:val="0"/>
          <w:sz w:val="24"/>
          <w:szCs w:val="24"/>
        </w:rPr>
        <w:t>edge, skills</w:t>
      </w:r>
      <w:r w:rsidR="00BB47AF">
        <w:rPr>
          <w:b w:val="0"/>
          <w:sz w:val="24"/>
          <w:szCs w:val="24"/>
        </w:rPr>
        <w:t>,</w:t>
      </w:r>
      <w:r w:rsidR="00623FA2">
        <w:rPr>
          <w:b w:val="0"/>
          <w:sz w:val="24"/>
          <w:szCs w:val="24"/>
        </w:rPr>
        <w:t xml:space="preserve"> and dispositions. </w:t>
      </w:r>
      <w:r w:rsidRPr="00CF6F7B">
        <w:rPr>
          <w:b w:val="0"/>
          <w:sz w:val="24"/>
          <w:szCs w:val="24"/>
        </w:rPr>
        <w:t xml:space="preserve">As stated in the section I.1, </w:t>
      </w:r>
      <w:r w:rsidR="00F16340" w:rsidRPr="00CF6F7B">
        <w:rPr>
          <w:b w:val="0"/>
          <w:sz w:val="24"/>
          <w:szCs w:val="24"/>
        </w:rPr>
        <w:t xml:space="preserve">all but the Elementary and Secondary Math programs have been recognized by their respective SPAs. Since the November 2016 visit, our Elementary Undergraduate program has been recognized. As stated in our Institutional Report and affirmed by the BOE report, we continue to collect and analyze data </w:t>
      </w:r>
      <w:r w:rsidR="006A1686">
        <w:rPr>
          <w:b w:val="0"/>
          <w:sz w:val="24"/>
          <w:szCs w:val="24"/>
        </w:rPr>
        <w:t>for</w:t>
      </w:r>
      <w:r w:rsidR="00F16340" w:rsidRPr="00CF6F7B">
        <w:rPr>
          <w:b w:val="0"/>
          <w:sz w:val="24"/>
          <w:szCs w:val="24"/>
        </w:rPr>
        <w:t xml:space="preserve"> the programs currently not recogni</w:t>
      </w:r>
      <w:r w:rsidR="00623FA2">
        <w:rPr>
          <w:b w:val="0"/>
          <w:sz w:val="24"/>
          <w:szCs w:val="24"/>
        </w:rPr>
        <w:t>zed and will be submitting them</w:t>
      </w:r>
      <w:r w:rsidR="00F16340" w:rsidRPr="00CF6F7B">
        <w:rPr>
          <w:b w:val="0"/>
          <w:sz w:val="24"/>
          <w:szCs w:val="24"/>
        </w:rPr>
        <w:t xml:space="preserve"> for SPA review and approval once we have gathered three cycles of data (page 5). Additionally, the BOE report clearly acknowledges that the concerns raised by the Offs</w:t>
      </w:r>
      <w:r w:rsidR="003B7015">
        <w:rPr>
          <w:b w:val="0"/>
          <w:sz w:val="24"/>
          <w:szCs w:val="24"/>
        </w:rPr>
        <w:t>ite Report were nullified by</w:t>
      </w:r>
      <w:r w:rsidR="00F16340" w:rsidRPr="00CF6F7B">
        <w:rPr>
          <w:b w:val="0"/>
          <w:sz w:val="24"/>
          <w:szCs w:val="24"/>
        </w:rPr>
        <w:t xml:space="preserve"> evidence presented during the onsite visit, particularly in terms of presenting disaggregated data for both the bachel</w:t>
      </w:r>
      <w:r w:rsidR="00006390">
        <w:rPr>
          <w:b w:val="0"/>
          <w:sz w:val="24"/>
          <w:szCs w:val="24"/>
        </w:rPr>
        <w:t xml:space="preserve">ors and the master’s programs.  The data </w:t>
      </w:r>
      <w:r w:rsidR="005B5579" w:rsidRPr="00CF6F7B">
        <w:rPr>
          <w:b w:val="0"/>
          <w:sz w:val="24"/>
          <w:szCs w:val="24"/>
        </w:rPr>
        <w:t>clearly delineate</w:t>
      </w:r>
      <w:r w:rsidR="00006390">
        <w:rPr>
          <w:b w:val="0"/>
          <w:sz w:val="24"/>
          <w:szCs w:val="24"/>
        </w:rPr>
        <w:t>d</w:t>
      </w:r>
      <w:r w:rsidR="005B5579" w:rsidRPr="00CF6F7B">
        <w:rPr>
          <w:b w:val="0"/>
          <w:sz w:val="24"/>
          <w:szCs w:val="24"/>
        </w:rPr>
        <w:t xml:space="preserve"> our candidates’ performance in assessments related to their content knowledge, skills and dispositions. The</w:t>
      </w:r>
      <w:r w:rsidR="001D0C06">
        <w:rPr>
          <w:b w:val="0"/>
          <w:sz w:val="24"/>
          <w:szCs w:val="24"/>
        </w:rPr>
        <w:t>se</w:t>
      </w:r>
      <w:r w:rsidR="005B5579" w:rsidRPr="00CF6F7B">
        <w:rPr>
          <w:b w:val="0"/>
          <w:sz w:val="24"/>
          <w:szCs w:val="24"/>
        </w:rPr>
        <w:t xml:space="preserve"> reports and the data are</w:t>
      </w:r>
      <w:r w:rsidR="000F7D6B">
        <w:rPr>
          <w:b w:val="0"/>
          <w:sz w:val="24"/>
          <w:szCs w:val="24"/>
        </w:rPr>
        <w:t xml:space="preserve"> available on AIMS</w:t>
      </w:r>
      <w:r w:rsidR="007716FB">
        <w:rPr>
          <w:b w:val="0"/>
          <w:sz w:val="24"/>
          <w:szCs w:val="24"/>
        </w:rPr>
        <w:t>,</w:t>
      </w:r>
      <w:r w:rsidR="000F7D6B">
        <w:rPr>
          <w:b w:val="0"/>
          <w:sz w:val="24"/>
          <w:szCs w:val="24"/>
        </w:rPr>
        <w:t xml:space="preserve"> as well as on</w:t>
      </w:r>
      <w:r w:rsidR="005B5579" w:rsidRPr="00CF6F7B">
        <w:rPr>
          <w:b w:val="0"/>
          <w:sz w:val="24"/>
          <w:szCs w:val="24"/>
        </w:rPr>
        <w:t xml:space="preserve"> our website.</w:t>
      </w:r>
    </w:p>
    <w:p w14:paraId="7D68B32D" w14:textId="77777777" w:rsidR="005B5579" w:rsidRPr="00CF6F7B" w:rsidRDefault="005B5579" w:rsidP="005B5579">
      <w:pPr>
        <w:jc w:val="center"/>
        <w:rPr>
          <w:b/>
          <w:sz w:val="24"/>
          <w:szCs w:val="24"/>
        </w:rPr>
      </w:pPr>
      <w:r w:rsidRPr="00CF6F7B">
        <w:rPr>
          <w:b/>
          <w:sz w:val="24"/>
          <w:szCs w:val="24"/>
        </w:rPr>
        <w:t>Standard 2</w:t>
      </w:r>
    </w:p>
    <w:p w14:paraId="2F7328D5" w14:textId="5F6C2F63" w:rsidR="005B5579" w:rsidRPr="00CF6F7B" w:rsidRDefault="009D27EB" w:rsidP="00802AA9">
      <w:pPr>
        <w:pStyle w:val="Heading2"/>
        <w:spacing w:before="120" w:after="120"/>
        <w:ind w:firstLine="720"/>
        <w:rPr>
          <w:b w:val="0"/>
          <w:sz w:val="24"/>
          <w:szCs w:val="24"/>
        </w:rPr>
      </w:pPr>
      <w:r w:rsidRPr="00CF6F7B">
        <w:rPr>
          <w:b w:val="0"/>
          <w:sz w:val="24"/>
          <w:szCs w:val="24"/>
        </w:rPr>
        <w:t>The BOE</w:t>
      </w:r>
      <w:r w:rsidR="005B5579" w:rsidRPr="00CF6F7B">
        <w:rPr>
          <w:b w:val="0"/>
          <w:sz w:val="24"/>
          <w:szCs w:val="24"/>
        </w:rPr>
        <w:t xml:space="preserve"> report </w:t>
      </w:r>
      <w:r w:rsidR="000F7D6B">
        <w:rPr>
          <w:b w:val="0"/>
          <w:sz w:val="24"/>
          <w:szCs w:val="24"/>
        </w:rPr>
        <w:t xml:space="preserve">recommends that this standard </w:t>
      </w:r>
      <w:r w:rsidR="00EE43F7">
        <w:rPr>
          <w:b w:val="0"/>
          <w:sz w:val="24"/>
          <w:szCs w:val="24"/>
        </w:rPr>
        <w:t>is</w:t>
      </w:r>
      <w:r w:rsidR="005B5579" w:rsidRPr="00CF6F7B">
        <w:rPr>
          <w:b w:val="0"/>
          <w:sz w:val="24"/>
          <w:szCs w:val="24"/>
        </w:rPr>
        <w:t xml:space="preserve"> MET, wit</w:t>
      </w:r>
      <w:r w:rsidR="00FF659B" w:rsidRPr="00CF6F7B">
        <w:rPr>
          <w:b w:val="0"/>
          <w:sz w:val="24"/>
          <w:szCs w:val="24"/>
        </w:rPr>
        <w:t xml:space="preserve">h all previous AFIs removed.  </w:t>
      </w:r>
      <w:r w:rsidR="00FA5A4C" w:rsidRPr="00CF6F7B">
        <w:rPr>
          <w:b w:val="0"/>
          <w:sz w:val="24"/>
          <w:szCs w:val="24"/>
        </w:rPr>
        <w:t xml:space="preserve">In particular, the BOE report affirms that our </w:t>
      </w:r>
      <w:r w:rsidR="008B3630">
        <w:rPr>
          <w:b w:val="0"/>
          <w:sz w:val="24"/>
          <w:szCs w:val="24"/>
        </w:rPr>
        <w:t xml:space="preserve">electronic data management </w:t>
      </w:r>
      <w:r w:rsidR="00FA5A4C" w:rsidRPr="00CF6F7B">
        <w:rPr>
          <w:b w:val="0"/>
          <w:sz w:val="24"/>
          <w:szCs w:val="24"/>
        </w:rPr>
        <w:t>system (TK20) is in full operation, supporting</w:t>
      </w:r>
      <w:r w:rsidR="00B67477">
        <w:rPr>
          <w:b w:val="0"/>
          <w:sz w:val="24"/>
          <w:szCs w:val="24"/>
        </w:rPr>
        <w:t xml:space="preserve"> assessment</w:t>
      </w:r>
      <w:r w:rsidR="00FA5A4C" w:rsidRPr="00CF6F7B">
        <w:rPr>
          <w:b w:val="0"/>
          <w:sz w:val="24"/>
          <w:szCs w:val="24"/>
        </w:rPr>
        <w:t xml:space="preserve"> data collection </w:t>
      </w:r>
      <w:r w:rsidR="00B67477">
        <w:rPr>
          <w:b w:val="0"/>
          <w:sz w:val="24"/>
          <w:szCs w:val="24"/>
        </w:rPr>
        <w:t xml:space="preserve">and analysis for all programs. </w:t>
      </w:r>
      <w:r w:rsidR="00FA5A4C" w:rsidRPr="00CF6F7B">
        <w:rPr>
          <w:b w:val="0"/>
          <w:sz w:val="24"/>
          <w:szCs w:val="24"/>
        </w:rPr>
        <w:t xml:space="preserve">Assisted by a TK20 coordinator and </w:t>
      </w:r>
      <w:r w:rsidR="00646D31">
        <w:rPr>
          <w:b w:val="0"/>
          <w:sz w:val="24"/>
          <w:szCs w:val="24"/>
        </w:rPr>
        <w:t xml:space="preserve">a </w:t>
      </w:r>
      <w:r w:rsidR="00FA5A4C" w:rsidRPr="00CF6F7B">
        <w:rPr>
          <w:b w:val="0"/>
          <w:sz w:val="24"/>
          <w:szCs w:val="24"/>
        </w:rPr>
        <w:t>dedicated faculty member for assessment, the Unit has been able to regularly and systematically capture and analyze assessment data to make decisio</w:t>
      </w:r>
      <w:r w:rsidR="00122B78">
        <w:rPr>
          <w:b w:val="0"/>
          <w:sz w:val="24"/>
          <w:szCs w:val="24"/>
        </w:rPr>
        <w:t xml:space="preserve">ns about program improvements. </w:t>
      </w:r>
      <w:r w:rsidR="00FA5A4C" w:rsidRPr="00CF6F7B">
        <w:rPr>
          <w:b w:val="0"/>
          <w:sz w:val="24"/>
          <w:szCs w:val="24"/>
        </w:rPr>
        <w:t xml:space="preserve">We </w:t>
      </w:r>
      <w:r w:rsidR="00F36EC8" w:rsidRPr="00CF6F7B">
        <w:rPr>
          <w:b w:val="0"/>
          <w:sz w:val="24"/>
          <w:szCs w:val="24"/>
        </w:rPr>
        <w:t>also</w:t>
      </w:r>
      <w:r w:rsidR="002F5D25" w:rsidRPr="00CF6F7B">
        <w:rPr>
          <w:b w:val="0"/>
          <w:sz w:val="24"/>
          <w:szCs w:val="24"/>
        </w:rPr>
        <w:t xml:space="preserve"> regularly share data </w:t>
      </w:r>
      <w:r w:rsidR="00F36EC8">
        <w:rPr>
          <w:b w:val="0"/>
          <w:sz w:val="24"/>
          <w:szCs w:val="24"/>
        </w:rPr>
        <w:t>among</w:t>
      </w:r>
      <w:r w:rsidR="002F5D25" w:rsidRPr="00CF6F7B">
        <w:rPr>
          <w:b w:val="0"/>
          <w:sz w:val="24"/>
          <w:szCs w:val="24"/>
        </w:rPr>
        <w:t xml:space="preserve"> our faculty and </w:t>
      </w:r>
      <w:r w:rsidR="00F36EC8">
        <w:rPr>
          <w:b w:val="0"/>
          <w:sz w:val="24"/>
          <w:szCs w:val="24"/>
        </w:rPr>
        <w:t>with</w:t>
      </w:r>
      <w:r w:rsidR="00514C02">
        <w:rPr>
          <w:b w:val="0"/>
          <w:sz w:val="24"/>
          <w:szCs w:val="24"/>
        </w:rPr>
        <w:t xml:space="preserve"> university (e.g., Arts and Sciences faculty) and</w:t>
      </w:r>
      <w:r w:rsidR="00F36EC8">
        <w:rPr>
          <w:b w:val="0"/>
          <w:sz w:val="24"/>
          <w:szCs w:val="24"/>
        </w:rPr>
        <w:t xml:space="preserve"> </w:t>
      </w:r>
      <w:r w:rsidR="002F5D25" w:rsidRPr="00CF6F7B">
        <w:rPr>
          <w:b w:val="0"/>
          <w:sz w:val="24"/>
          <w:szCs w:val="24"/>
        </w:rPr>
        <w:t xml:space="preserve">outside partners. </w:t>
      </w:r>
      <w:r w:rsidR="008543C6">
        <w:rPr>
          <w:b w:val="0"/>
          <w:sz w:val="24"/>
          <w:szCs w:val="24"/>
        </w:rPr>
        <w:t xml:space="preserve">Data </w:t>
      </w:r>
      <w:r w:rsidR="00036B1E">
        <w:rPr>
          <w:b w:val="0"/>
          <w:sz w:val="24"/>
          <w:szCs w:val="24"/>
        </w:rPr>
        <w:t xml:space="preserve">are </w:t>
      </w:r>
      <w:r w:rsidR="008543C6">
        <w:rPr>
          <w:b w:val="0"/>
          <w:sz w:val="24"/>
          <w:szCs w:val="24"/>
        </w:rPr>
        <w:t xml:space="preserve">periodically analyzed and program improvements planned and implemented during these meetings (page 9). </w:t>
      </w:r>
      <w:r w:rsidR="00424FD5" w:rsidRPr="00CF6F7B">
        <w:rPr>
          <w:b w:val="0"/>
          <w:sz w:val="24"/>
          <w:szCs w:val="24"/>
        </w:rPr>
        <w:t xml:space="preserve">A program improvement that stemmed from these data discussions </w:t>
      </w:r>
      <w:r w:rsidR="00404561">
        <w:rPr>
          <w:b w:val="0"/>
          <w:sz w:val="24"/>
          <w:szCs w:val="24"/>
          <w:lang w:val="es-ES"/>
        </w:rPr>
        <w:t>was</w:t>
      </w:r>
      <w:r w:rsidR="00424FD5" w:rsidRPr="00CF6F7B">
        <w:rPr>
          <w:b w:val="0"/>
          <w:sz w:val="24"/>
          <w:szCs w:val="24"/>
        </w:rPr>
        <w:t xml:space="preserve"> the new Core assessments. </w:t>
      </w:r>
      <w:r w:rsidR="002F5D25" w:rsidRPr="00CF6F7B">
        <w:rPr>
          <w:b w:val="0"/>
          <w:sz w:val="24"/>
          <w:szCs w:val="24"/>
        </w:rPr>
        <w:t xml:space="preserve">The BOE report </w:t>
      </w:r>
      <w:r w:rsidR="00184AEE" w:rsidRPr="00CF6F7B">
        <w:rPr>
          <w:b w:val="0"/>
          <w:sz w:val="24"/>
          <w:szCs w:val="24"/>
        </w:rPr>
        <w:t>refers to our existing Clinical assessments</w:t>
      </w:r>
      <w:r w:rsidR="006675DD" w:rsidRPr="00CF6F7B">
        <w:rPr>
          <w:b w:val="0"/>
          <w:sz w:val="24"/>
          <w:szCs w:val="24"/>
        </w:rPr>
        <w:t xml:space="preserve"> and commends us for implementing additional Core assessments (page 9). We explain</w:t>
      </w:r>
      <w:r w:rsidR="00771574" w:rsidRPr="00CF6F7B">
        <w:rPr>
          <w:b w:val="0"/>
          <w:sz w:val="24"/>
          <w:szCs w:val="24"/>
        </w:rPr>
        <w:t xml:space="preserve"> and clarify</w:t>
      </w:r>
      <w:r w:rsidR="006675DD" w:rsidRPr="00CF6F7B">
        <w:rPr>
          <w:b w:val="0"/>
          <w:sz w:val="24"/>
          <w:szCs w:val="24"/>
        </w:rPr>
        <w:t xml:space="preserve"> the distinction</w:t>
      </w:r>
      <w:r w:rsidR="00771574" w:rsidRPr="00CF6F7B">
        <w:rPr>
          <w:b w:val="0"/>
          <w:sz w:val="24"/>
          <w:szCs w:val="24"/>
        </w:rPr>
        <w:t xml:space="preserve"> between Core semesters, Core assessments, and Clinical Practices in Core curriculum </w:t>
      </w:r>
      <w:r w:rsidR="006675DD" w:rsidRPr="00CF6F7B">
        <w:rPr>
          <w:b w:val="0"/>
          <w:sz w:val="24"/>
          <w:szCs w:val="24"/>
        </w:rPr>
        <w:t>within Standard 3 below.</w:t>
      </w:r>
      <w:r w:rsidR="00771574" w:rsidRPr="00CF6F7B">
        <w:rPr>
          <w:b w:val="0"/>
          <w:sz w:val="24"/>
          <w:szCs w:val="24"/>
        </w:rPr>
        <w:t xml:space="preserve">  </w:t>
      </w:r>
    </w:p>
    <w:p w14:paraId="1E7208CE" w14:textId="34AEC2C7" w:rsidR="00010B9B" w:rsidRPr="00CF6F7B" w:rsidRDefault="008E6873" w:rsidP="005B5579">
      <w:pPr>
        <w:jc w:val="center"/>
        <w:rPr>
          <w:b/>
          <w:sz w:val="24"/>
          <w:szCs w:val="24"/>
        </w:rPr>
      </w:pPr>
      <w:r w:rsidRPr="00CF6F7B">
        <w:rPr>
          <w:b/>
          <w:sz w:val="24"/>
          <w:szCs w:val="24"/>
        </w:rPr>
        <w:t>Standard 3</w:t>
      </w:r>
    </w:p>
    <w:p w14:paraId="53E6AA73" w14:textId="2B745152" w:rsidR="001D6FDD" w:rsidRDefault="008002F4" w:rsidP="008002F4">
      <w:pPr>
        <w:spacing w:before="120" w:after="120"/>
        <w:rPr>
          <w:sz w:val="24"/>
          <w:szCs w:val="24"/>
        </w:rPr>
      </w:pPr>
      <w:r w:rsidRPr="00CF6F7B">
        <w:rPr>
          <w:b/>
          <w:sz w:val="24"/>
          <w:szCs w:val="24"/>
        </w:rPr>
        <w:tab/>
      </w:r>
      <w:r w:rsidRPr="00CF6F7B">
        <w:rPr>
          <w:sz w:val="24"/>
          <w:szCs w:val="24"/>
        </w:rPr>
        <w:t xml:space="preserve">The BOE report recommends that this standard </w:t>
      </w:r>
      <w:r w:rsidR="00EE43F7">
        <w:rPr>
          <w:sz w:val="24"/>
          <w:szCs w:val="24"/>
          <w:lang w:val="es-ES"/>
        </w:rPr>
        <w:t>is</w:t>
      </w:r>
      <w:r w:rsidR="008543C6" w:rsidRPr="00CF6F7B">
        <w:rPr>
          <w:sz w:val="24"/>
          <w:szCs w:val="24"/>
        </w:rPr>
        <w:t xml:space="preserve"> </w:t>
      </w:r>
      <w:r w:rsidRPr="00CF6F7B">
        <w:rPr>
          <w:sz w:val="24"/>
          <w:szCs w:val="24"/>
        </w:rPr>
        <w:t xml:space="preserve">MET, with all previous AFIs removed, and 2 new AFIs added.  </w:t>
      </w:r>
      <w:r w:rsidR="001D6FDD">
        <w:rPr>
          <w:sz w:val="24"/>
          <w:szCs w:val="24"/>
        </w:rPr>
        <w:t xml:space="preserve">Table 2 below addresses the </w:t>
      </w:r>
      <w:r w:rsidR="008543C6">
        <w:rPr>
          <w:sz w:val="24"/>
          <w:szCs w:val="24"/>
        </w:rPr>
        <w:t xml:space="preserve">new </w:t>
      </w:r>
      <w:r w:rsidR="001D6FDD">
        <w:rPr>
          <w:sz w:val="24"/>
          <w:szCs w:val="24"/>
        </w:rPr>
        <w:t xml:space="preserve">AFIs briefly with detailed responses provided in narrative.  </w:t>
      </w:r>
    </w:p>
    <w:p w14:paraId="5D2D1052" w14:textId="557C27B4" w:rsidR="00322EF0" w:rsidRPr="00CF6F7B" w:rsidRDefault="001D6FDD" w:rsidP="008002F4">
      <w:pPr>
        <w:spacing w:before="120" w:after="120"/>
        <w:rPr>
          <w:sz w:val="24"/>
          <w:szCs w:val="24"/>
        </w:rPr>
      </w:pPr>
      <w:r>
        <w:rPr>
          <w:sz w:val="24"/>
          <w:szCs w:val="24"/>
        </w:rPr>
        <w:tab/>
      </w:r>
      <w:r w:rsidR="008002F4" w:rsidRPr="00CF6F7B">
        <w:rPr>
          <w:sz w:val="24"/>
          <w:szCs w:val="24"/>
        </w:rPr>
        <w:t xml:space="preserve">The report </w:t>
      </w:r>
      <w:r w:rsidR="00E714F3" w:rsidRPr="00CF6F7B">
        <w:rPr>
          <w:sz w:val="24"/>
          <w:szCs w:val="24"/>
        </w:rPr>
        <w:t xml:space="preserve">acknowledges and commends our close and excellent relationships with P-12 teachers and administrators. </w:t>
      </w:r>
      <w:r w:rsidR="00E714F3" w:rsidRPr="00CF6F7B">
        <w:rPr>
          <w:sz w:val="24"/>
          <w:szCs w:val="24"/>
          <w:u w:val="single"/>
        </w:rPr>
        <w:t>Feedback from school partners</w:t>
      </w:r>
      <w:r w:rsidR="00E714F3" w:rsidRPr="00CF6F7B">
        <w:rPr>
          <w:sz w:val="24"/>
          <w:szCs w:val="24"/>
        </w:rPr>
        <w:t xml:space="preserve"> has been elicited via a multitude of ways, including informal meetings, regularly scheduled monthly meetings with supervisors, annually scheduled meeting with P-12 cooperating teachers and administrators and occasional meetings </w:t>
      </w:r>
      <w:r w:rsidR="00715C97">
        <w:rPr>
          <w:sz w:val="24"/>
          <w:szCs w:val="24"/>
          <w:lang w:val="es-ES"/>
        </w:rPr>
        <w:t>with</w:t>
      </w:r>
      <w:r w:rsidR="00E714F3" w:rsidRPr="00CF6F7B">
        <w:rPr>
          <w:sz w:val="24"/>
          <w:szCs w:val="24"/>
        </w:rPr>
        <w:t xml:space="preserve"> the Teacher Education Advisory Council. </w:t>
      </w:r>
      <w:r w:rsidR="00652916" w:rsidRPr="00CF6F7B">
        <w:rPr>
          <w:sz w:val="24"/>
          <w:szCs w:val="24"/>
        </w:rPr>
        <w:t xml:space="preserve">These have served to provide validating feedback on our core curricula, clinical experiences and </w:t>
      </w:r>
      <w:r w:rsidR="00C96274">
        <w:rPr>
          <w:sz w:val="24"/>
          <w:szCs w:val="24"/>
        </w:rPr>
        <w:t>assessment instruments</w:t>
      </w:r>
      <w:r w:rsidR="00652916" w:rsidRPr="00CF6F7B">
        <w:rPr>
          <w:sz w:val="24"/>
          <w:szCs w:val="24"/>
        </w:rPr>
        <w:t xml:space="preserve">.  </w:t>
      </w:r>
      <w:r w:rsidR="004E4541" w:rsidRPr="00CF6F7B">
        <w:rPr>
          <w:sz w:val="24"/>
          <w:szCs w:val="24"/>
        </w:rPr>
        <w:t>In addition, recognizing the need to further systematize our community partner</w:t>
      </w:r>
      <w:r w:rsidR="00017ABD" w:rsidRPr="00CF6F7B">
        <w:rPr>
          <w:sz w:val="24"/>
          <w:szCs w:val="24"/>
        </w:rPr>
        <w:t xml:space="preserve">ships, to </w:t>
      </w:r>
      <w:r w:rsidR="004E4541" w:rsidRPr="00CF6F7B">
        <w:rPr>
          <w:sz w:val="24"/>
          <w:szCs w:val="24"/>
        </w:rPr>
        <w:t>c</w:t>
      </w:r>
      <w:r w:rsidR="00017ABD" w:rsidRPr="00CF6F7B">
        <w:rPr>
          <w:sz w:val="24"/>
          <w:szCs w:val="24"/>
        </w:rPr>
        <w:t xml:space="preserve">apitalize on our close relationship and to develop this association into a more mutually beneficial collaboration, the unit has re-designed the Teacher Education Advisory Council into </w:t>
      </w:r>
      <w:r w:rsidR="000C1057" w:rsidRPr="00CF6F7B">
        <w:rPr>
          <w:sz w:val="24"/>
          <w:szCs w:val="24"/>
        </w:rPr>
        <w:t xml:space="preserve">a </w:t>
      </w:r>
      <w:r w:rsidR="000C1057" w:rsidRPr="00CF6F7B">
        <w:rPr>
          <w:sz w:val="24"/>
          <w:szCs w:val="24"/>
          <w:u w:val="single"/>
        </w:rPr>
        <w:t>Professional</w:t>
      </w:r>
      <w:r w:rsidR="00017ABD" w:rsidRPr="00CF6F7B">
        <w:rPr>
          <w:sz w:val="24"/>
          <w:szCs w:val="24"/>
          <w:u w:val="single"/>
        </w:rPr>
        <w:t xml:space="preserve"> Learning Council</w:t>
      </w:r>
      <w:r w:rsidR="00017ABD" w:rsidRPr="00CF6F7B">
        <w:rPr>
          <w:sz w:val="24"/>
          <w:szCs w:val="24"/>
        </w:rPr>
        <w:t>. This latter venture, while in its nascent stages as noted in the BOE report</w:t>
      </w:r>
      <w:r w:rsidR="00BF7D4F">
        <w:rPr>
          <w:sz w:val="24"/>
          <w:szCs w:val="24"/>
        </w:rPr>
        <w:t xml:space="preserve"> (page 15)</w:t>
      </w:r>
      <w:r w:rsidR="00017ABD" w:rsidRPr="00CF6F7B">
        <w:rPr>
          <w:sz w:val="24"/>
          <w:szCs w:val="24"/>
        </w:rPr>
        <w:t>, has been thoughtfully planned to include select partners and will come to fruition concomitant</w:t>
      </w:r>
      <w:r w:rsidR="00C96274">
        <w:rPr>
          <w:sz w:val="24"/>
          <w:szCs w:val="24"/>
        </w:rPr>
        <w:t xml:space="preserve"> to</w:t>
      </w:r>
      <w:r w:rsidR="00017ABD" w:rsidRPr="00CF6F7B">
        <w:rPr>
          <w:sz w:val="24"/>
          <w:szCs w:val="24"/>
        </w:rPr>
        <w:t xml:space="preserve"> our own transition towa</w:t>
      </w:r>
      <w:r w:rsidR="00F46586">
        <w:rPr>
          <w:sz w:val="24"/>
          <w:szCs w:val="24"/>
        </w:rPr>
        <w:t>rds CAEP accreditation</w:t>
      </w:r>
      <w:r w:rsidR="00017ABD" w:rsidRPr="00CF6F7B">
        <w:rPr>
          <w:sz w:val="24"/>
          <w:szCs w:val="24"/>
        </w:rPr>
        <w:t>.</w:t>
      </w:r>
    </w:p>
    <w:p w14:paraId="607B7D3F" w14:textId="38A1A7CC" w:rsidR="00424FD5" w:rsidRPr="00CF6F7B" w:rsidRDefault="00322EF0" w:rsidP="008002F4">
      <w:pPr>
        <w:spacing w:before="120" w:after="120"/>
        <w:rPr>
          <w:sz w:val="24"/>
          <w:szCs w:val="24"/>
        </w:rPr>
      </w:pPr>
      <w:r w:rsidRPr="00CF6F7B">
        <w:rPr>
          <w:sz w:val="24"/>
          <w:szCs w:val="24"/>
        </w:rPr>
        <w:tab/>
      </w:r>
      <w:r w:rsidR="00652916" w:rsidRPr="00CF6F7B">
        <w:rPr>
          <w:sz w:val="24"/>
          <w:szCs w:val="24"/>
        </w:rPr>
        <w:t>While it is true (as the BOE report</w:t>
      </w:r>
      <w:r w:rsidR="00623FA2">
        <w:rPr>
          <w:sz w:val="24"/>
          <w:szCs w:val="24"/>
        </w:rPr>
        <w:t xml:space="preserve"> indicates</w:t>
      </w:r>
      <w:r w:rsidR="000B4249">
        <w:rPr>
          <w:sz w:val="24"/>
          <w:szCs w:val="24"/>
        </w:rPr>
        <w:t>, page 15</w:t>
      </w:r>
      <w:r w:rsidR="00623FA2">
        <w:rPr>
          <w:sz w:val="24"/>
          <w:szCs w:val="24"/>
        </w:rPr>
        <w:t>) that we have a</w:t>
      </w:r>
      <w:r w:rsidR="00652916" w:rsidRPr="00CF6F7B">
        <w:rPr>
          <w:sz w:val="24"/>
          <w:szCs w:val="24"/>
        </w:rPr>
        <w:t xml:space="preserve"> </w:t>
      </w:r>
      <w:r w:rsidR="00652916" w:rsidRPr="00CF6F7B">
        <w:rPr>
          <w:sz w:val="24"/>
          <w:szCs w:val="24"/>
          <w:u w:val="single"/>
        </w:rPr>
        <w:t>Memorandum of Understanding</w:t>
      </w:r>
      <w:r w:rsidR="00652916" w:rsidRPr="00CF6F7B">
        <w:rPr>
          <w:sz w:val="24"/>
          <w:szCs w:val="24"/>
        </w:rPr>
        <w:t xml:space="preserve"> (MOU) with one school district (Cov</w:t>
      </w:r>
      <w:r w:rsidR="006C3C8E">
        <w:rPr>
          <w:sz w:val="24"/>
          <w:szCs w:val="24"/>
        </w:rPr>
        <w:t xml:space="preserve">entry) and </w:t>
      </w:r>
      <w:r w:rsidR="00BF7D4F">
        <w:rPr>
          <w:sz w:val="24"/>
          <w:szCs w:val="24"/>
        </w:rPr>
        <w:t xml:space="preserve">plans for </w:t>
      </w:r>
      <w:r w:rsidR="00652916" w:rsidRPr="00CF6F7B">
        <w:rPr>
          <w:sz w:val="24"/>
          <w:szCs w:val="24"/>
        </w:rPr>
        <w:t>more formal agreements with others, it is undeniably true</w:t>
      </w:r>
      <w:r w:rsidR="002422D0">
        <w:rPr>
          <w:sz w:val="24"/>
          <w:szCs w:val="24"/>
        </w:rPr>
        <w:t xml:space="preserve"> that</w:t>
      </w:r>
      <w:r w:rsidR="005F2304">
        <w:rPr>
          <w:sz w:val="24"/>
          <w:szCs w:val="24"/>
        </w:rPr>
        <w:t xml:space="preserve"> our clinical collaborations</w:t>
      </w:r>
      <w:r w:rsidR="00652916" w:rsidRPr="00CF6F7B">
        <w:rPr>
          <w:sz w:val="24"/>
          <w:szCs w:val="24"/>
        </w:rPr>
        <w:t xml:space="preserve"> with several of the 36 districts are long-standing and well established</w:t>
      </w:r>
      <w:r w:rsidR="005F2304">
        <w:rPr>
          <w:sz w:val="24"/>
          <w:szCs w:val="24"/>
        </w:rPr>
        <w:t>,</w:t>
      </w:r>
      <w:r w:rsidR="00310074">
        <w:rPr>
          <w:sz w:val="24"/>
          <w:szCs w:val="24"/>
        </w:rPr>
        <w:t xml:space="preserve"> even without an MOU. </w:t>
      </w:r>
      <w:r w:rsidR="00652916" w:rsidRPr="00CF6F7B">
        <w:rPr>
          <w:sz w:val="24"/>
          <w:szCs w:val="24"/>
        </w:rPr>
        <w:t>Membe</w:t>
      </w:r>
      <w:r w:rsidR="00EB4120">
        <w:rPr>
          <w:sz w:val="24"/>
          <w:szCs w:val="24"/>
        </w:rPr>
        <w:t>rs of the visiting team</w:t>
      </w:r>
      <w:r w:rsidR="00652916" w:rsidRPr="00CF6F7B">
        <w:rPr>
          <w:sz w:val="24"/>
          <w:szCs w:val="24"/>
        </w:rPr>
        <w:t xml:space="preserve"> visited two of these non-MOU districts: Norwich (a high school) and Windham (a preschool) and were struck by the deep connections betwee</w:t>
      </w:r>
      <w:r w:rsidR="00310074">
        <w:rPr>
          <w:sz w:val="24"/>
          <w:szCs w:val="24"/>
        </w:rPr>
        <w:t xml:space="preserve">n our university and the schools </w:t>
      </w:r>
      <w:r w:rsidR="003143A5">
        <w:rPr>
          <w:sz w:val="24"/>
          <w:szCs w:val="24"/>
        </w:rPr>
        <w:t xml:space="preserve">in terms of district </w:t>
      </w:r>
      <w:r w:rsidR="00F0520B">
        <w:rPr>
          <w:sz w:val="24"/>
          <w:szCs w:val="24"/>
        </w:rPr>
        <w:t>partner’s</w:t>
      </w:r>
      <w:r w:rsidR="00652916" w:rsidRPr="00CF6F7B">
        <w:rPr>
          <w:sz w:val="24"/>
          <w:szCs w:val="24"/>
        </w:rPr>
        <w:t xml:space="preserve"> understanding of our curriculum and other expectations and their complete supp</w:t>
      </w:r>
      <w:r w:rsidR="00F0520B">
        <w:rPr>
          <w:sz w:val="24"/>
          <w:szCs w:val="24"/>
        </w:rPr>
        <w:t xml:space="preserve">ort of our teacher candidates. </w:t>
      </w:r>
      <w:r w:rsidR="00652916" w:rsidRPr="00CF6F7B">
        <w:rPr>
          <w:sz w:val="24"/>
          <w:szCs w:val="24"/>
        </w:rPr>
        <w:t xml:space="preserve">In both these schools, Eastern teacher candidates </w:t>
      </w:r>
      <w:r w:rsidR="000B4249">
        <w:rPr>
          <w:sz w:val="24"/>
          <w:szCs w:val="24"/>
        </w:rPr>
        <w:t>are</w:t>
      </w:r>
      <w:r w:rsidR="000B4249" w:rsidRPr="00CF6F7B">
        <w:rPr>
          <w:sz w:val="24"/>
          <w:szCs w:val="24"/>
        </w:rPr>
        <w:t xml:space="preserve"> </w:t>
      </w:r>
      <w:r w:rsidR="00652916" w:rsidRPr="00CF6F7B">
        <w:rPr>
          <w:sz w:val="24"/>
          <w:szCs w:val="24"/>
        </w:rPr>
        <w:t xml:space="preserve">visibly present in classrooms, Eastern alumni </w:t>
      </w:r>
      <w:r w:rsidR="000B4249">
        <w:rPr>
          <w:sz w:val="24"/>
          <w:szCs w:val="24"/>
        </w:rPr>
        <w:t>are</w:t>
      </w:r>
      <w:r w:rsidR="000B4249" w:rsidRPr="00CF6F7B">
        <w:rPr>
          <w:sz w:val="24"/>
          <w:szCs w:val="24"/>
        </w:rPr>
        <w:t xml:space="preserve"> </w:t>
      </w:r>
      <w:r w:rsidR="00652916" w:rsidRPr="00CF6F7B">
        <w:rPr>
          <w:sz w:val="24"/>
          <w:szCs w:val="24"/>
        </w:rPr>
        <w:t>serving as cooperating teachers or school administr</w:t>
      </w:r>
      <w:r w:rsidR="00620BE8" w:rsidRPr="00CF6F7B">
        <w:rPr>
          <w:sz w:val="24"/>
          <w:szCs w:val="24"/>
        </w:rPr>
        <w:t>ators</w:t>
      </w:r>
      <w:r w:rsidR="00FC2F4A">
        <w:rPr>
          <w:sz w:val="24"/>
          <w:szCs w:val="24"/>
        </w:rPr>
        <w:t xml:space="preserve"> (page</w:t>
      </w:r>
      <w:r w:rsidR="00DA74EA">
        <w:rPr>
          <w:sz w:val="24"/>
          <w:szCs w:val="24"/>
        </w:rPr>
        <w:t>s</w:t>
      </w:r>
      <w:r w:rsidR="00FC2F4A">
        <w:rPr>
          <w:sz w:val="24"/>
          <w:szCs w:val="24"/>
        </w:rPr>
        <w:t xml:space="preserve"> 16 and 23)</w:t>
      </w:r>
      <w:r w:rsidR="00150CEA">
        <w:rPr>
          <w:sz w:val="24"/>
          <w:szCs w:val="24"/>
        </w:rPr>
        <w:t>.</w:t>
      </w:r>
      <w:r w:rsidR="00620BE8" w:rsidRPr="00CF6F7B">
        <w:rPr>
          <w:sz w:val="24"/>
          <w:szCs w:val="24"/>
        </w:rPr>
        <w:t xml:space="preserve"> Teachers from both these schools were also part of the interviewees who met with the visiting team for formal interviews</w:t>
      </w:r>
      <w:r w:rsidR="004E4541" w:rsidRPr="00CF6F7B">
        <w:rPr>
          <w:sz w:val="24"/>
          <w:szCs w:val="24"/>
        </w:rPr>
        <w:t xml:space="preserve"> on campus</w:t>
      </w:r>
      <w:r w:rsidR="00FC2F4A">
        <w:rPr>
          <w:sz w:val="24"/>
          <w:szCs w:val="24"/>
        </w:rPr>
        <w:t xml:space="preserve"> (see, onsite visit schedule)</w:t>
      </w:r>
      <w:r w:rsidR="004E4541" w:rsidRPr="00CF6F7B">
        <w:rPr>
          <w:sz w:val="24"/>
          <w:szCs w:val="24"/>
        </w:rPr>
        <w:t xml:space="preserve">. It is the unit’s firm belief that even </w:t>
      </w:r>
      <w:r w:rsidR="000C1057" w:rsidRPr="00CF6F7B">
        <w:rPr>
          <w:sz w:val="24"/>
          <w:szCs w:val="24"/>
        </w:rPr>
        <w:t>while we continue to maintain strong relationships that provide ongoing and systematic opportunities for P-12 school partners to be involved in the design, delivery</w:t>
      </w:r>
      <w:r w:rsidR="00623FA2">
        <w:rPr>
          <w:sz w:val="24"/>
          <w:szCs w:val="24"/>
        </w:rPr>
        <w:t>,</w:t>
      </w:r>
      <w:r w:rsidR="000C1057" w:rsidRPr="00CF6F7B">
        <w:rPr>
          <w:sz w:val="24"/>
          <w:szCs w:val="24"/>
        </w:rPr>
        <w:t xml:space="preserve"> and evaluation of our field and clinical experiences, we want to distinguish the </w:t>
      </w:r>
      <w:r w:rsidR="00623FA2">
        <w:rPr>
          <w:sz w:val="24"/>
          <w:szCs w:val="24"/>
        </w:rPr>
        <w:t xml:space="preserve">growing </w:t>
      </w:r>
      <w:r w:rsidR="000C1057" w:rsidRPr="00CF6F7B">
        <w:rPr>
          <w:sz w:val="24"/>
          <w:szCs w:val="24"/>
        </w:rPr>
        <w:t>school districts with whom we have MOUs</w:t>
      </w:r>
      <w:r w:rsidR="00623FA2">
        <w:rPr>
          <w:sz w:val="24"/>
          <w:szCs w:val="24"/>
        </w:rPr>
        <w:t>.</w:t>
      </w:r>
      <w:r w:rsidR="000C1057" w:rsidRPr="00CF6F7B">
        <w:rPr>
          <w:sz w:val="24"/>
          <w:szCs w:val="24"/>
        </w:rPr>
        <w:t xml:space="preserve"> </w:t>
      </w:r>
      <w:r w:rsidR="00FC2F4A">
        <w:rPr>
          <w:sz w:val="24"/>
          <w:szCs w:val="24"/>
        </w:rPr>
        <w:t xml:space="preserve">Since the November visit, we have established </w:t>
      </w:r>
      <w:r w:rsidR="00287A34">
        <w:rPr>
          <w:sz w:val="24"/>
          <w:szCs w:val="24"/>
        </w:rPr>
        <w:t>an MOU</w:t>
      </w:r>
      <w:r w:rsidR="00FC2F4A">
        <w:rPr>
          <w:sz w:val="24"/>
          <w:szCs w:val="24"/>
        </w:rPr>
        <w:t xml:space="preserve"> with another district, </w:t>
      </w:r>
      <w:r w:rsidR="005B03A7">
        <w:rPr>
          <w:sz w:val="24"/>
          <w:szCs w:val="24"/>
        </w:rPr>
        <w:t>Windham</w:t>
      </w:r>
      <w:r w:rsidR="00EA5A22">
        <w:rPr>
          <w:sz w:val="24"/>
          <w:szCs w:val="24"/>
        </w:rPr>
        <w:t xml:space="preserve"> (see Windham MOU in Appendix B)</w:t>
      </w:r>
      <w:r w:rsidR="00FC2F4A">
        <w:rPr>
          <w:sz w:val="24"/>
          <w:szCs w:val="24"/>
        </w:rPr>
        <w:t xml:space="preserve">. </w:t>
      </w:r>
      <w:r w:rsidR="00623FA2">
        <w:rPr>
          <w:sz w:val="24"/>
          <w:szCs w:val="24"/>
        </w:rPr>
        <w:t>These</w:t>
      </w:r>
      <w:r w:rsidR="000C1057" w:rsidRPr="00CF6F7B">
        <w:rPr>
          <w:sz w:val="24"/>
          <w:szCs w:val="24"/>
        </w:rPr>
        <w:t xml:space="preserve"> </w:t>
      </w:r>
      <w:r w:rsidR="00623FA2">
        <w:rPr>
          <w:sz w:val="24"/>
          <w:szCs w:val="24"/>
        </w:rPr>
        <w:t>partnerships</w:t>
      </w:r>
      <w:r w:rsidR="00B906FD">
        <w:rPr>
          <w:sz w:val="24"/>
          <w:szCs w:val="24"/>
        </w:rPr>
        <w:t xml:space="preserve"> provide</w:t>
      </w:r>
      <w:r w:rsidR="000C1057" w:rsidRPr="00CF6F7B">
        <w:rPr>
          <w:sz w:val="24"/>
          <w:szCs w:val="24"/>
        </w:rPr>
        <w:t xml:space="preserve"> an even greater service </w:t>
      </w:r>
      <w:r w:rsidR="006C2A0F">
        <w:rPr>
          <w:sz w:val="24"/>
          <w:szCs w:val="24"/>
        </w:rPr>
        <w:t>by</w:t>
      </w:r>
      <w:r w:rsidR="000C1057" w:rsidRPr="00CF6F7B">
        <w:rPr>
          <w:sz w:val="24"/>
          <w:szCs w:val="24"/>
        </w:rPr>
        <w:t xml:space="preserve"> offering internships to our graduate level teacher candidates. </w:t>
      </w:r>
    </w:p>
    <w:p w14:paraId="7300AB34" w14:textId="041F8041" w:rsidR="00872318" w:rsidRPr="00CF6F7B" w:rsidRDefault="00017ABD" w:rsidP="008002F4">
      <w:pPr>
        <w:spacing w:before="120" w:after="120"/>
        <w:rPr>
          <w:sz w:val="24"/>
          <w:szCs w:val="24"/>
        </w:rPr>
      </w:pPr>
      <w:r w:rsidRPr="00CF6F7B">
        <w:rPr>
          <w:sz w:val="24"/>
          <w:szCs w:val="24"/>
        </w:rPr>
        <w:tab/>
      </w:r>
      <w:r w:rsidR="00872318" w:rsidRPr="00CF6F7B">
        <w:rPr>
          <w:sz w:val="24"/>
          <w:szCs w:val="24"/>
        </w:rPr>
        <w:t>As stated in the BOE r</w:t>
      </w:r>
      <w:r w:rsidR="00637BC9">
        <w:rPr>
          <w:sz w:val="24"/>
          <w:szCs w:val="24"/>
        </w:rPr>
        <w:t>eport (third full paragraph, p</w:t>
      </w:r>
      <w:r w:rsidR="00872318" w:rsidRPr="00CF6F7B">
        <w:rPr>
          <w:sz w:val="24"/>
          <w:szCs w:val="24"/>
        </w:rPr>
        <w:t xml:space="preserve">age 15), </w:t>
      </w:r>
      <w:r w:rsidR="00872318" w:rsidRPr="00097785">
        <w:rPr>
          <w:sz w:val="24"/>
          <w:szCs w:val="24"/>
          <w:u w:val="single"/>
        </w:rPr>
        <w:t>our field and clinical experience</w:t>
      </w:r>
      <w:r w:rsidR="00FC2F4A">
        <w:rPr>
          <w:sz w:val="24"/>
          <w:szCs w:val="24"/>
          <w:u w:val="single"/>
        </w:rPr>
        <w:t>s</w:t>
      </w:r>
      <w:r w:rsidR="00872318" w:rsidRPr="00CF6F7B">
        <w:rPr>
          <w:sz w:val="24"/>
          <w:szCs w:val="24"/>
        </w:rPr>
        <w:t xml:space="preserve"> </w:t>
      </w:r>
      <w:r w:rsidR="00134221" w:rsidRPr="00CF6F7B">
        <w:rPr>
          <w:sz w:val="24"/>
          <w:szCs w:val="24"/>
        </w:rPr>
        <w:t>require</w:t>
      </w:r>
      <w:r w:rsidR="00872318" w:rsidRPr="00CF6F7B">
        <w:rPr>
          <w:sz w:val="24"/>
          <w:szCs w:val="24"/>
        </w:rPr>
        <w:t xml:space="preserve"> all</w:t>
      </w:r>
      <w:r w:rsidR="00134221" w:rsidRPr="00CF6F7B">
        <w:rPr>
          <w:sz w:val="24"/>
          <w:szCs w:val="24"/>
        </w:rPr>
        <w:t xml:space="preserve"> our</w:t>
      </w:r>
      <w:r w:rsidR="00872318" w:rsidRPr="00CF6F7B">
        <w:rPr>
          <w:sz w:val="24"/>
          <w:szCs w:val="24"/>
        </w:rPr>
        <w:t xml:space="preserve"> initial candidates (both undergraduate and graduate) to complete 45 clock hours of planned experiences in their Core I and Core II terms, followed by 135 hours in their Core III and a full semester of student teaching. The description of these experiences with expected competencies is outlined in the Clinical Experience and Student Teaching handbook.  </w:t>
      </w:r>
      <w:r w:rsidR="00134221" w:rsidRPr="00CF6F7B">
        <w:rPr>
          <w:sz w:val="24"/>
          <w:szCs w:val="24"/>
        </w:rPr>
        <w:t>These experiences and their evaluations have alwa</w:t>
      </w:r>
      <w:r w:rsidR="0098351B" w:rsidRPr="00CF6F7B">
        <w:rPr>
          <w:sz w:val="24"/>
          <w:szCs w:val="24"/>
        </w:rPr>
        <w:t xml:space="preserve">ys been present in our programs </w:t>
      </w:r>
      <w:r w:rsidR="00134221" w:rsidRPr="00CF6F7B">
        <w:rPr>
          <w:sz w:val="24"/>
          <w:szCs w:val="24"/>
        </w:rPr>
        <w:t>and candidates are routinely evalua</w:t>
      </w:r>
      <w:r w:rsidR="00623FA2">
        <w:rPr>
          <w:sz w:val="24"/>
          <w:szCs w:val="24"/>
        </w:rPr>
        <w:t xml:space="preserve">ted by university supervisors. </w:t>
      </w:r>
      <w:r w:rsidR="00134221" w:rsidRPr="00CF6F7B">
        <w:rPr>
          <w:sz w:val="24"/>
          <w:szCs w:val="24"/>
        </w:rPr>
        <w:t xml:space="preserve">Data from these evaluations </w:t>
      </w:r>
      <w:r w:rsidR="00623FA2">
        <w:rPr>
          <w:sz w:val="24"/>
          <w:szCs w:val="24"/>
        </w:rPr>
        <w:t>were</w:t>
      </w:r>
      <w:r w:rsidR="00134221" w:rsidRPr="00CF6F7B">
        <w:rPr>
          <w:sz w:val="24"/>
          <w:szCs w:val="24"/>
        </w:rPr>
        <w:t xml:space="preserve"> shared with the team </w:t>
      </w:r>
      <w:r w:rsidR="00E10E9F">
        <w:rPr>
          <w:sz w:val="24"/>
          <w:szCs w:val="24"/>
        </w:rPr>
        <w:t xml:space="preserve">onsite </w:t>
      </w:r>
      <w:r w:rsidR="00134221" w:rsidRPr="00CF6F7B">
        <w:rPr>
          <w:sz w:val="24"/>
          <w:szCs w:val="24"/>
        </w:rPr>
        <w:t xml:space="preserve">and </w:t>
      </w:r>
      <w:r w:rsidR="00623FA2">
        <w:rPr>
          <w:sz w:val="24"/>
          <w:szCs w:val="24"/>
        </w:rPr>
        <w:t>are</w:t>
      </w:r>
      <w:r w:rsidR="00134221" w:rsidRPr="00CF6F7B">
        <w:rPr>
          <w:sz w:val="24"/>
          <w:szCs w:val="24"/>
        </w:rPr>
        <w:t xml:space="preserve"> present as part of our reports on our website and </w:t>
      </w:r>
      <w:r w:rsidR="00623FA2">
        <w:rPr>
          <w:sz w:val="24"/>
          <w:szCs w:val="24"/>
        </w:rPr>
        <w:t xml:space="preserve">in </w:t>
      </w:r>
      <w:r w:rsidR="00134221" w:rsidRPr="00CF6F7B">
        <w:rPr>
          <w:sz w:val="24"/>
          <w:szCs w:val="24"/>
        </w:rPr>
        <w:t xml:space="preserve">AIMS. </w:t>
      </w:r>
    </w:p>
    <w:p w14:paraId="2DD514FD" w14:textId="5B378B2F" w:rsidR="00872318" w:rsidRPr="00CF6F7B" w:rsidRDefault="00872318" w:rsidP="00872318">
      <w:pPr>
        <w:spacing w:before="120" w:after="120"/>
        <w:rPr>
          <w:sz w:val="24"/>
          <w:szCs w:val="24"/>
        </w:rPr>
      </w:pPr>
      <w:r w:rsidRPr="00CF6F7B">
        <w:rPr>
          <w:sz w:val="24"/>
          <w:szCs w:val="24"/>
        </w:rPr>
        <w:tab/>
        <w:t xml:space="preserve">In addition to these field and clinical experiences, we have also initiated a new set of assessments called the Core I, II, III </w:t>
      </w:r>
      <w:r w:rsidR="0098351B" w:rsidRPr="00CF6F7B">
        <w:rPr>
          <w:sz w:val="24"/>
          <w:szCs w:val="24"/>
        </w:rPr>
        <w:t>portfolios</w:t>
      </w:r>
      <w:r w:rsidRPr="00CF6F7B">
        <w:rPr>
          <w:sz w:val="24"/>
          <w:szCs w:val="24"/>
        </w:rPr>
        <w:t xml:space="preserve">. </w:t>
      </w:r>
      <w:r w:rsidR="00405232">
        <w:rPr>
          <w:sz w:val="24"/>
          <w:szCs w:val="24"/>
        </w:rPr>
        <w:t>R</w:t>
      </w:r>
      <w:r w:rsidRPr="00CF6F7B">
        <w:rPr>
          <w:sz w:val="24"/>
          <w:szCs w:val="24"/>
        </w:rPr>
        <w:t xml:space="preserve">eading the BOE report (final paragraph on page 15), we realize (and apologize) </w:t>
      </w:r>
      <w:r w:rsidR="0098351B" w:rsidRPr="00CF6F7B">
        <w:rPr>
          <w:sz w:val="24"/>
          <w:szCs w:val="24"/>
        </w:rPr>
        <w:t xml:space="preserve">that we may have been unclear and inadvertently used similar words to describe related but distinct experiences and assessments. </w:t>
      </w:r>
      <w:r w:rsidRPr="00CF6F7B">
        <w:rPr>
          <w:sz w:val="24"/>
          <w:szCs w:val="24"/>
        </w:rPr>
        <w:t xml:space="preserve">We want to clarify the distinction between </w:t>
      </w:r>
      <w:r w:rsidRPr="00097785">
        <w:rPr>
          <w:sz w:val="24"/>
          <w:szCs w:val="24"/>
          <w:u w:val="single"/>
        </w:rPr>
        <w:t>several references to</w:t>
      </w:r>
      <w:r w:rsidR="00A10EAD">
        <w:rPr>
          <w:sz w:val="24"/>
          <w:szCs w:val="24"/>
          <w:u w:val="single"/>
        </w:rPr>
        <w:t xml:space="preserve"> the</w:t>
      </w:r>
      <w:r w:rsidRPr="00097785">
        <w:rPr>
          <w:sz w:val="24"/>
          <w:szCs w:val="24"/>
          <w:u w:val="single"/>
        </w:rPr>
        <w:t xml:space="preserve"> Core</w:t>
      </w:r>
      <w:r w:rsidR="00A10EAD">
        <w:rPr>
          <w:sz w:val="24"/>
          <w:szCs w:val="24"/>
          <w:u w:val="single"/>
        </w:rPr>
        <w:t>s</w:t>
      </w:r>
      <w:r w:rsidRPr="00CF6F7B">
        <w:rPr>
          <w:sz w:val="24"/>
          <w:szCs w:val="24"/>
        </w:rPr>
        <w:t xml:space="preserve"> that the visiting tea</w:t>
      </w:r>
      <w:r w:rsidR="0098351B" w:rsidRPr="00CF6F7B">
        <w:rPr>
          <w:sz w:val="24"/>
          <w:szCs w:val="24"/>
        </w:rPr>
        <w:t xml:space="preserve">m may have heard </w:t>
      </w:r>
      <w:r w:rsidR="003C4055" w:rsidRPr="00CF6F7B">
        <w:rPr>
          <w:sz w:val="24"/>
          <w:szCs w:val="24"/>
        </w:rPr>
        <w:t>or read about</w:t>
      </w:r>
      <w:r w:rsidR="00A10EAD">
        <w:rPr>
          <w:sz w:val="24"/>
          <w:szCs w:val="24"/>
        </w:rPr>
        <w:t>,</w:t>
      </w:r>
      <w:r w:rsidR="003C4055" w:rsidRPr="00CF6F7B">
        <w:rPr>
          <w:sz w:val="24"/>
          <w:szCs w:val="24"/>
        </w:rPr>
        <w:t xml:space="preserve"> which may have led to </w:t>
      </w:r>
      <w:r w:rsidR="0098351B" w:rsidRPr="00CF6F7B">
        <w:rPr>
          <w:sz w:val="24"/>
          <w:szCs w:val="24"/>
        </w:rPr>
        <w:t xml:space="preserve">the mistaken assumption that we have not ‘clearly articulated </w:t>
      </w:r>
      <w:r w:rsidR="00FC2F4A">
        <w:rPr>
          <w:sz w:val="24"/>
          <w:szCs w:val="24"/>
        </w:rPr>
        <w:t xml:space="preserve">[the expectations for these experiences] </w:t>
      </w:r>
      <w:r w:rsidR="0098351B" w:rsidRPr="00CF6F7B">
        <w:rPr>
          <w:sz w:val="24"/>
          <w:szCs w:val="24"/>
        </w:rPr>
        <w:t>with candidates</w:t>
      </w:r>
      <w:r w:rsidR="003C4055" w:rsidRPr="00CF6F7B">
        <w:rPr>
          <w:sz w:val="24"/>
          <w:szCs w:val="24"/>
        </w:rPr>
        <w:t>, faculty</w:t>
      </w:r>
      <w:r w:rsidR="000115DC" w:rsidRPr="00CF6F7B">
        <w:rPr>
          <w:sz w:val="24"/>
          <w:szCs w:val="24"/>
        </w:rPr>
        <w:t xml:space="preserve"> members and P-12 colleagues’ (page 16, </w:t>
      </w:r>
      <w:r w:rsidR="00FC2F4A">
        <w:rPr>
          <w:sz w:val="24"/>
          <w:szCs w:val="24"/>
        </w:rPr>
        <w:t>third</w:t>
      </w:r>
      <w:r w:rsidR="00FC2F4A" w:rsidRPr="00CF6F7B">
        <w:rPr>
          <w:sz w:val="24"/>
          <w:szCs w:val="24"/>
        </w:rPr>
        <w:t xml:space="preserve"> </w:t>
      </w:r>
      <w:r w:rsidR="000115DC" w:rsidRPr="00CF6F7B">
        <w:rPr>
          <w:sz w:val="24"/>
          <w:szCs w:val="24"/>
        </w:rPr>
        <w:t>line).</w:t>
      </w:r>
      <w:r w:rsidR="00AF0178">
        <w:rPr>
          <w:sz w:val="24"/>
          <w:szCs w:val="24"/>
        </w:rPr>
        <w:t xml:space="preserve">  </w:t>
      </w:r>
      <w:r w:rsidR="00A17ACA">
        <w:rPr>
          <w:sz w:val="24"/>
          <w:szCs w:val="24"/>
        </w:rPr>
        <w:t>I</w:t>
      </w:r>
      <w:r w:rsidR="00D51E48">
        <w:rPr>
          <w:sz w:val="24"/>
          <w:szCs w:val="24"/>
        </w:rPr>
        <w:t>t is our belief that our candidates, faculty and P-12 partners are fully aware of the expectations and timelines for these various Cores, as affirmed by the generation of data.</w:t>
      </w:r>
    </w:p>
    <w:p w14:paraId="62930A2F" w14:textId="1C52DC83" w:rsidR="00872318" w:rsidRPr="00CF6F7B" w:rsidRDefault="000115DC" w:rsidP="00872318">
      <w:pPr>
        <w:spacing w:before="120" w:after="120"/>
        <w:rPr>
          <w:sz w:val="24"/>
          <w:szCs w:val="24"/>
        </w:rPr>
      </w:pPr>
      <w:r w:rsidRPr="00CF6F7B">
        <w:rPr>
          <w:sz w:val="24"/>
          <w:szCs w:val="24"/>
          <w:u w:val="single"/>
        </w:rPr>
        <w:t>Core I, II, III, IV</w:t>
      </w:r>
      <w:r w:rsidRPr="00CF6F7B">
        <w:rPr>
          <w:sz w:val="24"/>
          <w:szCs w:val="24"/>
        </w:rPr>
        <w:t xml:space="preserve">:  Cores refer to the select cluster of program courses that candidates complete </w:t>
      </w:r>
      <w:r w:rsidR="00872318" w:rsidRPr="00CF6F7B">
        <w:rPr>
          <w:sz w:val="24"/>
          <w:szCs w:val="24"/>
        </w:rPr>
        <w:t>sequentially after admission to the program.</w:t>
      </w:r>
      <w:r w:rsidR="00A10EAD">
        <w:rPr>
          <w:sz w:val="24"/>
          <w:szCs w:val="24"/>
        </w:rPr>
        <w:t xml:space="preserve"> </w:t>
      </w:r>
      <w:r w:rsidRPr="00CF6F7B">
        <w:rPr>
          <w:sz w:val="24"/>
          <w:szCs w:val="24"/>
        </w:rPr>
        <w:t>Thus</w:t>
      </w:r>
      <w:r w:rsidR="007E0753">
        <w:rPr>
          <w:sz w:val="24"/>
          <w:szCs w:val="24"/>
        </w:rPr>
        <w:t>,</w:t>
      </w:r>
      <w:r w:rsidRPr="00CF6F7B">
        <w:rPr>
          <w:sz w:val="24"/>
          <w:szCs w:val="24"/>
        </w:rPr>
        <w:t xml:space="preserve"> each program has four Cores. Each of these Cores has its own distinct clinical experience </w:t>
      </w:r>
      <w:r w:rsidR="00A10EAD">
        <w:rPr>
          <w:sz w:val="24"/>
          <w:szCs w:val="24"/>
        </w:rPr>
        <w:t>with supervision</w:t>
      </w:r>
      <w:r w:rsidR="00FC2F4A">
        <w:rPr>
          <w:sz w:val="24"/>
          <w:szCs w:val="24"/>
        </w:rPr>
        <w:t>. C</w:t>
      </w:r>
      <w:r w:rsidR="00A10EAD">
        <w:rPr>
          <w:sz w:val="24"/>
          <w:szCs w:val="24"/>
        </w:rPr>
        <w:t>andidates are evaluated by way of an observation assessment</w:t>
      </w:r>
      <w:r w:rsidR="00E10A13">
        <w:rPr>
          <w:sz w:val="24"/>
          <w:szCs w:val="24"/>
        </w:rPr>
        <w:t>, the Clinical evaluation rubric</w:t>
      </w:r>
      <w:r w:rsidR="00A96EA0">
        <w:rPr>
          <w:sz w:val="24"/>
          <w:szCs w:val="24"/>
        </w:rPr>
        <w:t xml:space="preserve"> (see Core I, II, III, IV clinical evaluations below)</w:t>
      </w:r>
      <w:r w:rsidRPr="00CF6F7B">
        <w:rPr>
          <w:sz w:val="24"/>
          <w:szCs w:val="24"/>
        </w:rPr>
        <w:t>. Each of these Cores is also where we have begun to embed our new set of assessments called Core I, II, III portfolios</w:t>
      </w:r>
      <w:r w:rsidR="00A96EA0">
        <w:rPr>
          <w:sz w:val="24"/>
          <w:szCs w:val="24"/>
        </w:rPr>
        <w:t xml:space="preserve"> (see below)</w:t>
      </w:r>
      <w:r w:rsidR="00A10EAD">
        <w:rPr>
          <w:sz w:val="24"/>
          <w:szCs w:val="24"/>
        </w:rPr>
        <w:t xml:space="preserve">, to be completed by candidates separate from </w:t>
      </w:r>
      <w:r w:rsidR="00A96EA0">
        <w:rPr>
          <w:sz w:val="24"/>
          <w:szCs w:val="24"/>
        </w:rPr>
        <w:t xml:space="preserve">and in addition to </w:t>
      </w:r>
      <w:r w:rsidR="00A10EAD">
        <w:rPr>
          <w:sz w:val="24"/>
          <w:szCs w:val="24"/>
        </w:rPr>
        <w:t>the</w:t>
      </w:r>
      <w:r w:rsidR="00A96EA0">
        <w:rPr>
          <w:sz w:val="24"/>
          <w:szCs w:val="24"/>
        </w:rPr>
        <w:t>ir</w:t>
      </w:r>
      <w:r w:rsidR="00A10EAD">
        <w:rPr>
          <w:sz w:val="24"/>
          <w:szCs w:val="24"/>
        </w:rPr>
        <w:t xml:space="preserve"> </w:t>
      </w:r>
      <w:r w:rsidR="00A96EA0">
        <w:rPr>
          <w:sz w:val="24"/>
          <w:szCs w:val="24"/>
        </w:rPr>
        <w:t>Core clinical evaluations</w:t>
      </w:r>
      <w:r w:rsidRPr="00CF6F7B">
        <w:rPr>
          <w:sz w:val="24"/>
          <w:szCs w:val="24"/>
        </w:rPr>
        <w:t>.</w:t>
      </w:r>
    </w:p>
    <w:p w14:paraId="3DFA8E38" w14:textId="01B5D551" w:rsidR="00872318" w:rsidRPr="00CF6F7B" w:rsidRDefault="00872318" w:rsidP="00872318">
      <w:pPr>
        <w:spacing w:before="120" w:after="120"/>
        <w:rPr>
          <w:sz w:val="24"/>
          <w:szCs w:val="24"/>
        </w:rPr>
      </w:pPr>
      <w:r w:rsidRPr="00CF6F7B">
        <w:rPr>
          <w:sz w:val="24"/>
          <w:szCs w:val="24"/>
          <w:u w:val="single"/>
        </w:rPr>
        <w:t xml:space="preserve">Core I, II, III, IV clinical </w:t>
      </w:r>
      <w:r w:rsidR="00E641B8" w:rsidRPr="00CF6F7B">
        <w:rPr>
          <w:sz w:val="24"/>
          <w:szCs w:val="24"/>
          <w:u w:val="single"/>
        </w:rPr>
        <w:t>evaluations</w:t>
      </w:r>
      <w:r w:rsidRPr="00CF6F7B">
        <w:rPr>
          <w:sz w:val="24"/>
          <w:szCs w:val="24"/>
        </w:rPr>
        <w:t xml:space="preserve">: </w:t>
      </w:r>
      <w:r w:rsidR="004F0548">
        <w:rPr>
          <w:sz w:val="24"/>
          <w:szCs w:val="24"/>
        </w:rPr>
        <w:t xml:space="preserve">These are </w:t>
      </w:r>
      <w:r w:rsidR="00A96EA0">
        <w:rPr>
          <w:sz w:val="24"/>
          <w:szCs w:val="24"/>
        </w:rPr>
        <w:t xml:space="preserve">evaluations of the candidates in their Core I, II, III and IV clinical experiences, </w:t>
      </w:r>
      <w:r w:rsidR="004F0548">
        <w:rPr>
          <w:sz w:val="24"/>
          <w:szCs w:val="24"/>
        </w:rPr>
        <w:t>c</w:t>
      </w:r>
      <w:r w:rsidRPr="00CF6F7B">
        <w:rPr>
          <w:sz w:val="24"/>
          <w:szCs w:val="24"/>
        </w:rPr>
        <w:t>ompleted by the</w:t>
      </w:r>
      <w:r w:rsidR="00A96EA0">
        <w:rPr>
          <w:sz w:val="24"/>
          <w:szCs w:val="24"/>
        </w:rPr>
        <w:t>ir</w:t>
      </w:r>
      <w:r w:rsidRPr="00CF6F7B">
        <w:rPr>
          <w:sz w:val="24"/>
          <w:szCs w:val="24"/>
        </w:rPr>
        <w:t xml:space="preserve"> university supervisor</w:t>
      </w:r>
      <w:r w:rsidR="00E10A13">
        <w:rPr>
          <w:sz w:val="24"/>
          <w:szCs w:val="24"/>
        </w:rPr>
        <w:t xml:space="preserve">, </w:t>
      </w:r>
      <w:r w:rsidR="0019462A">
        <w:rPr>
          <w:sz w:val="24"/>
          <w:szCs w:val="24"/>
        </w:rPr>
        <w:t>using the Clinical Evaluation rubric</w:t>
      </w:r>
      <w:r w:rsidRPr="00CF6F7B">
        <w:rPr>
          <w:sz w:val="24"/>
          <w:szCs w:val="24"/>
        </w:rPr>
        <w:t>.</w:t>
      </w:r>
      <w:r w:rsidR="00A10EAD">
        <w:rPr>
          <w:sz w:val="24"/>
          <w:szCs w:val="24"/>
        </w:rPr>
        <w:t xml:space="preserve"> These are based largely on classroom observation and conferences with candidates and other clinical faculty (i.e., the cooperating teacher).</w:t>
      </w:r>
      <w:r w:rsidR="0009707F">
        <w:rPr>
          <w:sz w:val="24"/>
          <w:szCs w:val="24"/>
        </w:rPr>
        <w:t xml:space="preserve"> Core III evaluation is the candidates’ practicum or pre-student teaching evaluation; Core IV evaluation is the candidates’ student teaching evaluation.  Disaggregated data for all four clinical evaluations were shared with the visiting team and available at AIMS and in our website.</w:t>
      </w:r>
    </w:p>
    <w:p w14:paraId="10972DCF" w14:textId="2B4F27B9" w:rsidR="00872318" w:rsidRPr="00CF6F7B" w:rsidRDefault="00E641B8" w:rsidP="00872318">
      <w:pPr>
        <w:spacing w:before="120" w:after="120"/>
        <w:rPr>
          <w:sz w:val="24"/>
          <w:szCs w:val="24"/>
        </w:rPr>
      </w:pPr>
      <w:r w:rsidRPr="00CF6F7B">
        <w:rPr>
          <w:sz w:val="24"/>
          <w:szCs w:val="24"/>
          <w:u w:val="single"/>
        </w:rPr>
        <w:t xml:space="preserve">Core I, II, III </w:t>
      </w:r>
      <w:r w:rsidR="00872318" w:rsidRPr="00CF6F7B">
        <w:rPr>
          <w:sz w:val="24"/>
          <w:szCs w:val="24"/>
          <w:u w:val="single"/>
        </w:rPr>
        <w:t>portfolio</w:t>
      </w:r>
      <w:r w:rsidR="00872318" w:rsidRPr="00CF6F7B">
        <w:rPr>
          <w:sz w:val="24"/>
          <w:szCs w:val="24"/>
        </w:rPr>
        <w:t xml:space="preserve">: </w:t>
      </w:r>
      <w:r w:rsidR="008D4D31">
        <w:rPr>
          <w:sz w:val="24"/>
          <w:szCs w:val="24"/>
        </w:rPr>
        <w:t>N</w:t>
      </w:r>
      <w:r w:rsidR="00872318" w:rsidRPr="00CF6F7B">
        <w:rPr>
          <w:sz w:val="24"/>
          <w:szCs w:val="24"/>
        </w:rPr>
        <w:t>ew unit-wide assessments</w:t>
      </w:r>
      <w:r w:rsidR="003F2A08">
        <w:rPr>
          <w:sz w:val="24"/>
          <w:szCs w:val="24"/>
        </w:rPr>
        <w:t xml:space="preserve">, </w:t>
      </w:r>
      <w:r w:rsidR="008D4D31">
        <w:rPr>
          <w:sz w:val="24"/>
          <w:szCs w:val="24"/>
        </w:rPr>
        <w:t xml:space="preserve">being developed, validated and implemented. Core I portfolio was </w:t>
      </w:r>
      <w:r w:rsidR="003F2A08">
        <w:rPr>
          <w:sz w:val="24"/>
          <w:szCs w:val="24"/>
        </w:rPr>
        <w:t xml:space="preserve">piloted in </w:t>
      </w:r>
      <w:r w:rsidR="008D4D31">
        <w:rPr>
          <w:sz w:val="24"/>
          <w:szCs w:val="24"/>
        </w:rPr>
        <w:t>S</w:t>
      </w:r>
      <w:r w:rsidR="003F2A08">
        <w:rPr>
          <w:sz w:val="24"/>
          <w:szCs w:val="24"/>
        </w:rPr>
        <w:t xml:space="preserve">pring 2016 with a Looking Backwards Looking Forward </w:t>
      </w:r>
      <w:r w:rsidR="00D94CDC">
        <w:rPr>
          <w:sz w:val="24"/>
          <w:szCs w:val="24"/>
        </w:rPr>
        <w:t>assignment (see exhibit 2.3c Assessment report on Looking Back, Looking forward report submitted with the Institutional Report and posted at our website).</w:t>
      </w:r>
      <w:r w:rsidR="003F2A08">
        <w:rPr>
          <w:sz w:val="24"/>
          <w:szCs w:val="24"/>
        </w:rPr>
        <w:t xml:space="preserve"> </w:t>
      </w:r>
      <w:r w:rsidR="00872318" w:rsidRPr="00CF6F7B">
        <w:rPr>
          <w:sz w:val="24"/>
          <w:szCs w:val="24"/>
        </w:rPr>
        <w:t xml:space="preserve">Core I portfolio </w:t>
      </w:r>
      <w:r w:rsidR="000115DC" w:rsidRPr="00CF6F7B">
        <w:rPr>
          <w:sz w:val="24"/>
          <w:szCs w:val="24"/>
        </w:rPr>
        <w:t>was</w:t>
      </w:r>
      <w:r w:rsidR="00872318" w:rsidRPr="00CF6F7B">
        <w:rPr>
          <w:sz w:val="24"/>
          <w:szCs w:val="24"/>
        </w:rPr>
        <w:t xml:space="preserve"> </w:t>
      </w:r>
      <w:r w:rsidR="0009707F">
        <w:rPr>
          <w:sz w:val="24"/>
          <w:szCs w:val="24"/>
        </w:rPr>
        <w:t xml:space="preserve">fully </w:t>
      </w:r>
      <w:r w:rsidR="00872318" w:rsidRPr="00CF6F7B">
        <w:rPr>
          <w:sz w:val="24"/>
          <w:szCs w:val="24"/>
        </w:rPr>
        <w:t xml:space="preserve">implemented in Fall 2016; Core II portfolio </w:t>
      </w:r>
      <w:r w:rsidR="000115DC" w:rsidRPr="00CF6F7B">
        <w:rPr>
          <w:sz w:val="24"/>
          <w:szCs w:val="24"/>
        </w:rPr>
        <w:t>is being</w:t>
      </w:r>
      <w:r w:rsidR="00872318" w:rsidRPr="00CF6F7B">
        <w:rPr>
          <w:sz w:val="24"/>
          <w:szCs w:val="24"/>
        </w:rPr>
        <w:t xml:space="preserve"> implemented in Spring 2017.</w:t>
      </w:r>
      <w:r w:rsidR="000115DC" w:rsidRPr="00CF6F7B">
        <w:rPr>
          <w:sz w:val="24"/>
          <w:szCs w:val="24"/>
        </w:rPr>
        <w:t xml:space="preserve"> Core III portfolio is being developed and validated in Spring 2017 and will be implemented in Fall 2018.</w:t>
      </w:r>
      <w:r w:rsidR="003F2A08">
        <w:rPr>
          <w:sz w:val="24"/>
          <w:szCs w:val="24"/>
        </w:rPr>
        <w:t xml:space="preserve"> </w:t>
      </w:r>
      <w:r w:rsidR="008E360A">
        <w:rPr>
          <w:sz w:val="24"/>
          <w:szCs w:val="24"/>
        </w:rPr>
        <w:t xml:space="preserve"> A roadmap outlining our timeline for development and implementation was shared onsite and is posted on our website. </w:t>
      </w:r>
      <w:r w:rsidR="003F2A08">
        <w:rPr>
          <w:sz w:val="24"/>
          <w:szCs w:val="24"/>
        </w:rPr>
        <w:t xml:space="preserve">Please note that </w:t>
      </w:r>
      <w:r w:rsidR="00D51E48">
        <w:rPr>
          <w:sz w:val="24"/>
          <w:szCs w:val="24"/>
        </w:rPr>
        <w:t xml:space="preserve">the </w:t>
      </w:r>
      <w:r w:rsidR="003F2A08">
        <w:rPr>
          <w:sz w:val="24"/>
          <w:szCs w:val="24"/>
        </w:rPr>
        <w:t>Core IV</w:t>
      </w:r>
      <w:r w:rsidR="00D51E48">
        <w:rPr>
          <w:sz w:val="24"/>
          <w:szCs w:val="24"/>
        </w:rPr>
        <w:t xml:space="preserve"> portfolio</w:t>
      </w:r>
      <w:r w:rsidR="003F2A08">
        <w:rPr>
          <w:sz w:val="24"/>
          <w:szCs w:val="24"/>
        </w:rPr>
        <w:t xml:space="preserve"> will consist of edTPA. During </w:t>
      </w:r>
      <w:r w:rsidR="00D51E48">
        <w:rPr>
          <w:sz w:val="24"/>
          <w:szCs w:val="24"/>
        </w:rPr>
        <w:t xml:space="preserve">and since our onsite </w:t>
      </w:r>
      <w:r w:rsidR="003F2A08">
        <w:rPr>
          <w:sz w:val="24"/>
          <w:szCs w:val="24"/>
        </w:rPr>
        <w:t>visit</w:t>
      </w:r>
      <w:r w:rsidR="00D51E48">
        <w:rPr>
          <w:sz w:val="24"/>
          <w:szCs w:val="24"/>
        </w:rPr>
        <w:t>, select</w:t>
      </w:r>
      <w:r w:rsidR="003F2A08">
        <w:rPr>
          <w:sz w:val="24"/>
          <w:szCs w:val="24"/>
        </w:rPr>
        <w:t xml:space="preserve"> programs (i.e., elementary Education, Secondary English, </w:t>
      </w:r>
      <w:r w:rsidR="00D51E48">
        <w:rPr>
          <w:sz w:val="24"/>
          <w:szCs w:val="24"/>
        </w:rPr>
        <w:t>Early Childhood Education</w:t>
      </w:r>
      <w:r w:rsidR="003F2A08">
        <w:rPr>
          <w:sz w:val="24"/>
          <w:szCs w:val="24"/>
        </w:rPr>
        <w:t xml:space="preserve">, and Physical education) have been piloting edTPA with national scoring. </w:t>
      </w:r>
      <w:r w:rsidR="00C776EE">
        <w:rPr>
          <w:sz w:val="24"/>
          <w:szCs w:val="24"/>
        </w:rPr>
        <w:t xml:space="preserve">See Appendix A for edTPA </w:t>
      </w:r>
      <w:r w:rsidR="000B7216">
        <w:rPr>
          <w:sz w:val="24"/>
          <w:szCs w:val="24"/>
        </w:rPr>
        <w:t xml:space="preserve">internal report of </w:t>
      </w:r>
      <w:r w:rsidR="00C776EE">
        <w:rPr>
          <w:sz w:val="24"/>
          <w:szCs w:val="24"/>
        </w:rPr>
        <w:t xml:space="preserve">national scoring of candidates in Spring 2016. </w:t>
      </w:r>
      <w:r w:rsidR="003F2A08">
        <w:rPr>
          <w:sz w:val="24"/>
          <w:szCs w:val="24"/>
        </w:rPr>
        <w:t xml:space="preserve">The unit continues to phase in edTPA </w:t>
      </w:r>
      <w:r w:rsidR="00D51E48">
        <w:rPr>
          <w:sz w:val="24"/>
          <w:szCs w:val="24"/>
        </w:rPr>
        <w:t>during</w:t>
      </w:r>
      <w:r w:rsidR="003F2A08">
        <w:rPr>
          <w:sz w:val="24"/>
          <w:szCs w:val="24"/>
        </w:rPr>
        <w:t xml:space="preserve"> Core IV, with full EPP implementation and national scoring by 2019. </w:t>
      </w:r>
    </w:p>
    <w:p w14:paraId="7DBBEF79" w14:textId="24821ABF" w:rsidR="006472BA" w:rsidRDefault="008C6A68" w:rsidP="00872318">
      <w:pPr>
        <w:spacing w:before="120" w:after="120"/>
        <w:rPr>
          <w:sz w:val="24"/>
          <w:szCs w:val="24"/>
        </w:rPr>
      </w:pPr>
      <w:r>
        <w:rPr>
          <w:sz w:val="24"/>
          <w:szCs w:val="24"/>
        </w:rPr>
        <w:tab/>
        <w:t>Please refer to Table 3</w:t>
      </w:r>
      <w:r w:rsidR="006472BA">
        <w:rPr>
          <w:sz w:val="24"/>
          <w:szCs w:val="24"/>
        </w:rPr>
        <w:t xml:space="preserve"> below for more clarification.</w:t>
      </w:r>
    </w:p>
    <w:p w14:paraId="3B79FCE8" w14:textId="36681B80" w:rsidR="001D6FDD" w:rsidRDefault="001D6FDD" w:rsidP="00872318">
      <w:pPr>
        <w:spacing w:before="120" w:after="120"/>
        <w:rPr>
          <w:sz w:val="24"/>
          <w:szCs w:val="24"/>
        </w:rPr>
      </w:pPr>
      <w:r>
        <w:rPr>
          <w:sz w:val="24"/>
          <w:szCs w:val="24"/>
        </w:rPr>
        <w:tab/>
      </w:r>
      <w:r w:rsidR="00E9029D">
        <w:rPr>
          <w:sz w:val="24"/>
          <w:szCs w:val="24"/>
        </w:rPr>
        <w:t xml:space="preserve">Our </w:t>
      </w:r>
      <w:r w:rsidR="00E9029D" w:rsidRPr="00E9029D">
        <w:rPr>
          <w:sz w:val="24"/>
          <w:szCs w:val="24"/>
          <w:u w:val="single"/>
        </w:rPr>
        <w:t>advanced programs</w:t>
      </w:r>
      <w:r w:rsidR="00E9029D">
        <w:rPr>
          <w:sz w:val="24"/>
          <w:szCs w:val="24"/>
        </w:rPr>
        <w:t xml:space="preserve"> have always had a formal field experience often completed in the candidates’ current school setting. This is embedded within EDU</w:t>
      </w:r>
      <w:r w:rsidR="00EF076C">
        <w:rPr>
          <w:sz w:val="24"/>
          <w:szCs w:val="24"/>
        </w:rPr>
        <w:t xml:space="preserve"> 518</w:t>
      </w:r>
      <w:r w:rsidR="00E9029D">
        <w:rPr>
          <w:sz w:val="24"/>
          <w:szCs w:val="24"/>
        </w:rPr>
        <w:t xml:space="preserve">: Methods of </w:t>
      </w:r>
      <w:r w:rsidR="003E442A">
        <w:rPr>
          <w:sz w:val="24"/>
          <w:szCs w:val="24"/>
        </w:rPr>
        <w:t>T</w:t>
      </w:r>
      <w:r w:rsidR="00E9029D">
        <w:rPr>
          <w:sz w:val="24"/>
          <w:szCs w:val="24"/>
        </w:rPr>
        <w:t>each</w:t>
      </w:r>
      <w:r w:rsidR="003F2A08">
        <w:rPr>
          <w:sz w:val="24"/>
          <w:szCs w:val="24"/>
        </w:rPr>
        <w:t xml:space="preserve">ing English </w:t>
      </w:r>
      <w:r w:rsidR="003E442A">
        <w:rPr>
          <w:sz w:val="24"/>
          <w:szCs w:val="24"/>
        </w:rPr>
        <w:t>L</w:t>
      </w:r>
      <w:r w:rsidR="003F2A08">
        <w:rPr>
          <w:sz w:val="24"/>
          <w:szCs w:val="24"/>
        </w:rPr>
        <w:t xml:space="preserve">anguage </w:t>
      </w:r>
      <w:r w:rsidR="003E442A">
        <w:rPr>
          <w:sz w:val="24"/>
          <w:szCs w:val="24"/>
        </w:rPr>
        <w:t>L</w:t>
      </w:r>
      <w:r w:rsidR="003F2A08">
        <w:rPr>
          <w:sz w:val="24"/>
          <w:szCs w:val="24"/>
        </w:rPr>
        <w:t xml:space="preserve">earners. </w:t>
      </w:r>
      <w:r w:rsidR="00E9029D">
        <w:rPr>
          <w:sz w:val="24"/>
          <w:szCs w:val="24"/>
        </w:rPr>
        <w:t>Guidelines about the assessment and data were shared in AIMS and with the visiting team. As acknowledged by the visiting team, our advanced programs have long suffered low enrollment</w:t>
      </w:r>
      <w:r w:rsidR="003F2A08">
        <w:rPr>
          <w:sz w:val="24"/>
          <w:szCs w:val="24"/>
        </w:rPr>
        <w:t>,</w:t>
      </w:r>
      <w:r w:rsidR="00E9029D">
        <w:rPr>
          <w:sz w:val="24"/>
          <w:szCs w:val="24"/>
        </w:rPr>
        <w:t xml:space="preserve"> which has partly affected our abilities to collect data on our program</w:t>
      </w:r>
      <w:r w:rsidR="003F2A08">
        <w:rPr>
          <w:sz w:val="24"/>
          <w:szCs w:val="24"/>
        </w:rPr>
        <w:t>s</w:t>
      </w:r>
      <w:r w:rsidR="00E9029D">
        <w:rPr>
          <w:sz w:val="24"/>
          <w:szCs w:val="24"/>
        </w:rPr>
        <w:t xml:space="preserve"> and has led to our current plans to develop a single advanced program with concentrations in 5 </w:t>
      </w:r>
      <w:r w:rsidR="003F2A08">
        <w:rPr>
          <w:sz w:val="24"/>
          <w:szCs w:val="24"/>
        </w:rPr>
        <w:t xml:space="preserve">initial </w:t>
      </w:r>
      <w:r w:rsidR="00E9029D">
        <w:rPr>
          <w:sz w:val="24"/>
          <w:szCs w:val="24"/>
        </w:rPr>
        <w:t>areas</w:t>
      </w:r>
      <w:r w:rsidR="003F2A08">
        <w:rPr>
          <w:sz w:val="24"/>
          <w:szCs w:val="24"/>
        </w:rPr>
        <w:t xml:space="preserve">. </w:t>
      </w:r>
      <w:r w:rsidR="00E9029D">
        <w:rPr>
          <w:sz w:val="24"/>
          <w:szCs w:val="24"/>
        </w:rPr>
        <w:t xml:space="preserve">The BOE report refers to two field experiences being planned in the new program (first full paragraph, page 16) </w:t>
      </w:r>
      <w:r w:rsidR="008E360A">
        <w:rPr>
          <w:sz w:val="24"/>
          <w:szCs w:val="24"/>
        </w:rPr>
        <w:t>and states that</w:t>
      </w:r>
      <w:r w:rsidR="00E9029D">
        <w:rPr>
          <w:sz w:val="24"/>
          <w:szCs w:val="24"/>
        </w:rPr>
        <w:t xml:space="preserve"> we did not provide informa</w:t>
      </w:r>
      <w:r w:rsidR="003F2A08">
        <w:rPr>
          <w:sz w:val="24"/>
          <w:szCs w:val="24"/>
        </w:rPr>
        <w:t xml:space="preserve">tion about their requirements. </w:t>
      </w:r>
      <w:r w:rsidR="00E9029D">
        <w:rPr>
          <w:sz w:val="24"/>
          <w:szCs w:val="24"/>
        </w:rPr>
        <w:t xml:space="preserve">We would like to clarify that our plan is to retain the </w:t>
      </w:r>
      <w:r w:rsidR="008E360A">
        <w:rPr>
          <w:sz w:val="24"/>
          <w:szCs w:val="24"/>
        </w:rPr>
        <w:t xml:space="preserve">single </w:t>
      </w:r>
      <w:r w:rsidR="00E9029D">
        <w:rPr>
          <w:sz w:val="24"/>
          <w:szCs w:val="24"/>
        </w:rPr>
        <w:t xml:space="preserve">formal field experience currently in place in EDU 518. Since that </w:t>
      </w:r>
      <w:r w:rsidR="006E0E25">
        <w:rPr>
          <w:sz w:val="24"/>
          <w:szCs w:val="24"/>
        </w:rPr>
        <w:t>information was already provided with our report, we did not resubmit it.</w:t>
      </w:r>
      <w:r w:rsidR="00F35D15">
        <w:rPr>
          <w:sz w:val="24"/>
          <w:szCs w:val="24"/>
        </w:rPr>
        <w:t xml:space="preserve"> The assessment schema for the new advanced master’s program with concentrations has been completed</w:t>
      </w:r>
      <w:r w:rsidR="008E4EA7">
        <w:rPr>
          <w:sz w:val="24"/>
          <w:szCs w:val="24"/>
        </w:rPr>
        <w:t xml:space="preserve"> since the site visit</w:t>
      </w:r>
      <w:r w:rsidR="00F35D15">
        <w:rPr>
          <w:sz w:val="24"/>
          <w:szCs w:val="24"/>
        </w:rPr>
        <w:t xml:space="preserve"> and will be provided during the next accreditation </w:t>
      </w:r>
      <w:r w:rsidR="008E4EA7">
        <w:rPr>
          <w:sz w:val="24"/>
          <w:szCs w:val="24"/>
        </w:rPr>
        <w:t>cycle</w:t>
      </w:r>
      <w:r w:rsidR="00F35D15">
        <w:rPr>
          <w:sz w:val="24"/>
          <w:szCs w:val="24"/>
        </w:rPr>
        <w:t>, contingent upon state approval.</w:t>
      </w:r>
    </w:p>
    <w:p w14:paraId="1EE57B66" w14:textId="0A971507" w:rsidR="0018229A" w:rsidRDefault="006E0E25" w:rsidP="00872318">
      <w:pPr>
        <w:spacing w:before="120" w:after="120"/>
        <w:rPr>
          <w:sz w:val="24"/>
          <w:szCs w:val="24"/>
        </w:rPr>
      </w:pPr>
      <w:r>
        <w:rPr>
          <w:sz w:val="24"/>
          <w:szCs w:val="24"/>
        </w:rPr>
        <w:tab/>
      </w:r>
      <w:r w:rsidR="00393FD6">
        <w:rPr>
          <w:sz w:val="24"/>
          <w:szCs w:val="24"/>
        </w:rPr>
        <w:t xml:space="preserve">The BOE report outlines the rigorous and careful process maintained by our </w:t>
      </w:r>
      <w:r w:rsidR="00393FD6" w:rsidRPr="002B7D86">
        <w:rPr>
          <w:sz w:val="24"/>
          <w:szCs w:val="24"/>
          <w:u w:val="single"/>
        </w:rPr>
        <w:t>OECE</w:t>
      </w:r>
      <w:r w:rsidR="00393FD6">
        <w:rPr>
          <w:sz w:val="24"/>
          <w:szCs w:val="24"/>
        </w:rPr>
        <w:t xml:space="preserve"> (Office of Educational and Clinical Experiences) to place our candidates such that they have both a diversity of experiences and a rich support system to further their professional development</w:t>
      </w:r>
      <w:r w:rsidR="00801303">
        <w:rPr>
          <w:sz w:val="24"/>
          <w:szCs w:val="24"/>
        </w:rPr>
        <w:t xml:space="preserve"> (page 18)</w:t>
      </w:r>
      <w:r w:rsidR="00393FD6">
        <w:rPr>
          <w:sz w:val="24"/>
          <w:szCs w:val="24"/>
        </w:rPr>
        <w:t>. Our Child and Family Development Resource Center, located on our campus, is one example of collabora</w:t>
      </w:r>
      <w:r w:rsidR="0018229A">
        <w:rPr>
          <w:sz w:val="24"/>
          <w:szCs w:val="24"/>
        </w:rPr>
        <w:t>tive partnerships supporting the design, implementation and evalua</w:t>
      </w:r>
      <w:r w:rsidR="00F35D15">
        <w:rPr>
          <w:sz w:val="24"/>
          <w:szCs w:val="24"/>
        </w:rPr>
        <w:t xml:space="preserve">tion of our field experiences. </w:t>
      </w:r>
      <w:r w:rsidR="0018229A">
        <w:rPr>
          <w:sz w:val="24"/>
          <w:szCs w:val="24"/>
        </w:rPr>
        <w:t xml:space="preserve">In keeping with our state regulations, all cooperating teachers have completed the state’s TEAM (Teacher Education and Mentoring Program) and school districts further support by verifying the qualifications of the </w:t>
      </w:r>
      <w:r w:rsidR="00F35D15">
        <w:rPr>
          <w:sz w:val="24"/>
          <w:szCs w:val="24"/>
        </w:rPr>
        <w:t xml:space="preserve">selected cooperating teachers. </w:t>
      </w:r>
      <w:r w:rsidR="0018229A">
        <w:rPr>
          <w:sz w:val="24"/>
          <w:szCs w:val="24"/>
        </w:rPr>
        <w:t>Evaluations of university supervisors are elic</w:t>
      </w:r>
      <w:r w:rsidR="00C1087C">
        <w:rPr>
          <w:sz w:val="24"/>
          <w:szCs w:val="24"/>
        </w:rPr>
        <w:t>i</w:t>
      </w:r>
      <w:r w:rsidR="0018229A">
        <w:rPr>
          <w:sz w:val="24"/>
          <w:szCs w:val="24"/>
        </w:rPr>
        <w:t xml:space="preserve">ted via the end of program </w:t>
      </w:r>
      <w:r w:rsidR="00741803">
        <w:rPr>
          <w:sz w:val="24"/>
          <w:szCs w:val="24"/>
        </w:rPr>
        <w:t>survey, which</w:t>
      </w:r>
      <w:r w:rsidR="0018229A">
        <w:rPr>
          <w:sz w:val="24"/>
          <w:szCs w:val="24"/>
        </w:rPr>
        <w:t xml:space="preserve"> has been modified (shared with the team </w:t>
      </w:r>
      <w:r w:rsidR="00F35D15">
        <w:rPr>
          <w:sz w:val="24"/>
          <w:szCs w:val="24"/>
        </w:rPr>
        <w:t>and available on</w:t>
      </w:r>
      <w:r w:rsidR="0018229A">
        <w:rPr>
          <w:sz w:val="24"/>
          <w:szCs w:val="24"/>
        </w:rPr>
        <w:t xml:space="preserve"> our website) to include feedback on</w:t>
      </w:r>
      <w:r w:rsidR="00F35D15">
        <w:rPr>
          <w:sz w:val="24"/>
          <w:szCs w:val="24"/>
        </w:rPr>
        <w:t xml:space="preserve"> our cooperating teachers too. </w:t>
      </w:r>
      <w:r w:rsidR="0018229A">
        <w:rPr>
          <w:sz w:val="24"/>
          <w:szCs w:val="24"/>
        </w:rPr>
        <w:t>We continue to evaluate this survey to include formal and pertinent information relevant to our improvement of candidates’ clinical experiences.</w:t>
      </w:r>
      <w:r w:rsidR="00741803">
        <w:rPr>
          <w:sz w:val="24"/>
          <w:szCs w:val="24"/>
        </w:rPr>
        <w:t xml:space="preserve">  </w:t>
      </w:r>
    </w:p>
    <w:p w14:paraId="41C06683" w14:textId="360CDCC4" w:rsidR="00741803" w:rsidRDefault="00741803" w:rsidP="00872318">
      <w:pPr>
        <w:spacing w:before="120" w:after="120"/>
        <w:rPr>
          <w:sz w:val="24"/>
          <w:szCs w:val="24"/>
        </w:rPr>
      </w:pPr>
      <w:r>
        <w:rPr>
          <w:sz w:val="24"/>
          <w:szCs w:val="24"/>
        </w:rPr>
        <w:tab/>
        <w:t xml:space="preserve">One point of correction: Our candidates in Core I and II are formally evaluated by their university supervisor.  In </w:t>
      </w:r>
      <w:r w:rsidR="005575D2">
        <w:rPr>
          <w:sz w:val="24"/>
          <w:szCs w:val="24"/>
        </w:rPr>
        <w:t xml:space="preserve">the </w:t>
      </w:r>
      <w:r>
        <w:rPr>
          <w:sz w:val="24"/>
          <w:szCs w:val="24"/>
        </w:rPr>
        <w:t xml:space="preserve">third paragraph of page 17, the report indicates otherwise.  This is the Clinical I and II evaluations, for which data </w:t>
      </w:r>
      <w:r w:rsidR="00F35D15">
        <w:rPr>
          <w:sz w:val="24"/>
          <w:szCs w:val="24"/>
        </w:rPr>
        <w:t>were</w:t>
      </w:r>
      <w:r>
        <w:rPr>
          <w:sz w:val="24"/>
          <w:szCs w:val="24"/>
        </w:rPr>
        <w:t xml:space="preserve"> shared in AIMS and with the team.  </w:t>
      </w:r>
    </w:p>
    <w:p w14:paraId="4CB0938D" w14:textId="4ADBB0AC" w:rsidR="00EB0DC2" w:rsidRPr="00B5585C" w:rsidRDefault="008D3F11" w:rsidP="00B5585C">
      <w:pPr>
        <w:spacing w:before="120" w:after="120"/>
        <w:rPr>
          <w:sz w:val="24"/>
          <w:szCs w:val="24"/>
        </w:rPr>
        <w:sectPr w:rsidR="00EB0DC2" w:rsidRPr="00B5585C" w:rsidSect="00A13491">
          <w:headerReference w:type="default" r:id="rId12"/>
          <w:footerReference w:type="even" r:id="rId13"/>
          <w:headerReference w:type="first" r:id="rId14"/>
          <w:pgSz w:w="12240" w:h="15840"/>
          <w:pgMar w:top="1440" w:right="1440" w:bottom="1440" w:left="1440" w:header="720" w:footer="720" w:gutter="0"/>
          <w:cols w:space="720"/>
          <w:titlePg/>
        </w:sectPr>
      </w:pPr>
      <w:r>
        <w:rPr>
          <w:sz w:val="24"/>
          <w:szCs w:val="24"/>
        </w:rPr>
        <w:tab/>
        <w:t xml:space="preserve">The BOE report indicates that it was not clear in the Institutional Report why the </w:t>
      </w:r>
      <w:r w:rsidR="005575D2">
        <w:rPr>
          <w:sz w:val="24"/>
          <w:szCs w:val="24"/>
        </w:rPr>
        <w:t xml:space="preserve">number of </w:t>
      </w:r>
      <w:r w:rsidR="005575D2" w:rsidRPr="002B7D86">
        <w:rPr>
          <w:sz w:val="24"/>
          <w:szCs w:val="24"/>
          <w:u w:val="single"/>
        </w:rPr>
        <w:t>credits for student teaching</w:t>
      </w:r>
      <w:r w:rsidR="005575D2">
        <w:rPr>
          <w:sz w:val="24"/>
          <w:szCs w:val="24"/>
        </w:rPr>
        <w:t xml:space="preserve"> varies</w:t>
      </w:r>
      <w:r>
        <w:rPr>
          <w:sz w:val="24"/>
          <w:szCs w:val="24"/>
        </w:rPr>
        <w:t xml:space="preserve"> from six to nine credits (second paragraph on page 18).  Some programs </w:t>
      </w:r>
      <w:r w:rsidR="005575D2">
        <w:rPr>
          <w:sz w:val="24"/>
          <w:szCs w:val="24"/>
        </w:rPr>
        <w:t xml:space="preserve">(elementary and secondary education) offer a variable credit option for student teaching (6-9) </w:t>
      </w:r>
      <w:r w:rsidR="00F07A4C">
        <w:rPr>
          <w:sz w:val="24"/>
          <w:szCs w:val="24"/>
        </w:rPr>
        <w:t>to accommodate candidates who may require additional experience to meet the established learning outcomes</w:t>
      </w:r>
      <w:r w:rsidR="005575D2">
        <w:rPr>
          <w:sz w:val="24"/>
          <w:szCs w:val="24"/>
        </w:rPr>
        <w:t>.</w:t>
      </w:r>
      <w:r w:rsidR="00F07A4C">
        <w:rPr>
          <w:sz w:val="24"/>
          <w:szCs w:val="24"/>
        </w:rPr>
        <w:t xml:space="preserve"> The variable credits are recommended by faculty on</w:t>
      </w:r>
      <w:r w:rsidR="00FA1B77">
        <w:rPr>
          <w:sz w:val="24"/>
          <w:szCs w:val="24"/>
        </w:rPr>
        <w:t xml:space="preserve"> a</w:t>
      </w:r>
      <w:r w:rsidR="00F07A4C">
        <w:rPr>
          <w:sz w:val="24"/>
          <w:szCs w:val="24"/>
        </w:rPr>
        <w:t xml:space="preserve"> case-by-case basis. All candidates meet and or exceed the minimum, state requirement of ten weeks for student teaching. </w:t>
      </w:r>
      <w:r w:rsidR="005575D2">
        <w:rPr>
          <w:sz w:val="24"/>
          <w:szCs w:val="24"/>
        </w:rPr>
        <w:t>As stated in the BOE report, each additional credit lengthens a candidate’s hours</w:t>
      </w:r>
      <w:r w:rsidR="00B5585C">
        <w:rPr>
          <w:sz w:val="24"/>
          <w:szCs w:val="24"/>
        </w:rPr>
        <w:t xml:space="preserve"> in the classroom </w:t>
      </w:r>
      <w:r w:rsidR="00F07A4C">
        <w:rPr>
          <w:sz w:val="24"/>
          <w:szCs w:val="24"/>
        </w:rPr>
        <w:t>as appropriate.</w:t>
      </w:r>
    </w:p>
    <w:p w14:paraId="3D8D222B" w14:textId="77777777" w:rsidR="00A17ACA" w:rsidRDefault="00A17ACA" w:rsidP="00A17ACA">
      <w:pPr>
        <w:spacing w:before="120" w:after="120"/>
        <w:jc w:val="center"/>
        <w:rPr>
          <w:b/>
          <w:sz w:val="24"/>
          <w:szCs w:val="24"/>
        </w:rPr>
      </w:pPr>
      <w:r>
        <w:rPr>
          <w:b/>
          <w:sz w:val="24"/>
          <w:szCs w:val="24"/>
        </w:rPr>
        <w:t>Table 2: Eastern’s Responses to new AFIs for Standard 3</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570"/>
        <w:gridCol w:w="4552"/>
      </w:tblGrid>
      <w:tr w:rsidR="00A17ACA" w:rsidRPr="00CF6F7B" w14:paraId="1751E13B" w14:textId="77777777" w:rsidTr="00A17ACA">
        <w:tc>
          <w:tcPr>
            <w:tcW w:w="0" w:type="auto"/>
          </w:tcPr>
          <w:p w14:paraId="6A64A35C" w14:textId="77777777" w:rsidR="00A17ACA" w:rsidRPr="00CF6F7B" w:rsidRDefault="00A17ACA" w:rsidP="00A17ACA">
            <w:pPr>
              <w:spacing w:before="120" w:after="120"/>
              <w:jc w:val="center"/>
              <w:rPr>
                <w:rFonts w:eastAsia="Calibri"/>
                <w:b/>
                <w:sz w:val="24"/>
                <w:szCs w:val="24"/>
              </w:rPr>
            </w:pPr>
            <w:r w:rsidRPr="00CF6F7B">
              <w:rPr>
                <w:rFonts w:eastAsia="Calibri"/>
                <w:b/>
                <w:sz w:val="24"/>
                <w:szCs w:val="24"/>
              </w:rPr>
              <w:t>New AFIs recommended</w:t>
            </w:r>
          </w:p>
        </w:tc>
        <w:tc>
          <w:tcPr>
            <w:tcW w:w="0" w:type="auto"/>
            <w:shd w:val="clear" w:color="auto" w:fill="auto"/>
          </w:tcPr>
          <w:p w14:paraId="31DBF529" w14:textId="77777777" w:rsidR="00A17ACA" w:rsidRPr="00CF6F7B" w:rsidRDefault="00A17ACA" w:rsidP="00A17ACA">
            <w:pPr>
              <w:spacing w:before="120" w:after="120"/>
              <w:jc w:val="center"/>
              <w:rPr>
                <w:rFonts w:eastAsia="Calibri"/>
                <w:b/>
                <w:sz w:val="24"/>
                <w:szCs w:val="24"/>
              </w:rPr>
            </w:pPr>
            <w:r>
              <w:rPr>
                <w:rFonts w:eastAsia="Calibri"/>
                <w:b/>
                <w:sz w:val="24"/>
                <w:szCs w:val="24"/>
              </w:rPr>
              <w:t>AFI Rationale</w:t>
            </w:r>
          </w:p>
        </w:tc>
        <w:tc>
          <w:tcPr>
            <w:tcW w:w="0" w:type="auto"/>
          </w:tcPr>
          <w:p w14:paraId="5E58FF95" w14:textId="77777777" w:rsidR="00A17ACA" w:rsidRPr="00CF6F7B" w:rsidRDefault="00A17ACA" w:rsidP="00A17ACA">
            <w:pPr>
              <w:spacing w:before="120" w:after="120"/>
              <w:jc w:val="center"/>
              <w:rPr>
                <w:rFonts w:eastAsia="Calibri"/>
                <w:b/>
                <w:sz w:val="24"/>
                <w:szCs w:val="24"/>
              </w:rPr>
            </w:pPr>
            <w:r w:rsidRPr="00CF6F7B">
              <w:rPr>
                <w:rFonts w:eastAsia="Calibri"/>
                <w:b/>
                <w:sz w:val="24"/>
                <w:szCs w:val="24"/>
              </w:rPr>
              <w:t>Eastern’s Response</w:t>
            </w:r>
          </w:p>
        </w:tc>
      </w:tr>
      <w:tr w:rsidR="00A17ACA" w:rsidRPr="00CF6F7B" w14:paraId="576C6E10" w14:textId="77777777" w:rsidTr="00A17ACA">
        <w:trPr>
          <w:trHeight w:val="1340"/>
        </w:trPr>
        <w:tc>
          <w:tcPr>
            <w:tcW w:w="0" w:type="auto"/>
          </w:tcPr>
          <w:p w14:paraId="3B3A4FB4" w14:textId="77777777" w:rsidR="00A17ACA" w:rsidRPr="00CF6F7B" w:rsidRDefault="00A17ACA" w:rsidP="00A17ACA">
            <w:pPr>
              <w:pStyle w:val="MediumGrid1-Accent21"/>
              <w:spacing w:before="120" w:after="120" w:line="240" w:lineRule="auto"/>
              <w:ind w:left="0"/>
              <w:rPr>
                <w:rFonts w:ascii="Times New Roman" w:hAnsi="Times New Roman"/>
                <w:sz w:val="24"/>
                <w:szCs w:val="24"/>
              </w:rPr>
            </w:pPr>
            <w:r>
              <w:rPr>
                <w:rFonts w:ascii="Times New Roman" w:hAnsi="Times New Roman"/>
                <w:sz w:val="24"/>
                <w:szCs w:val="24"/>
              </w:rPr>
              <w:t xml:space="preserve">1. </w:t>
            </w:r>
            <w:r w:rsidRPr="00F03191">
              <w:rPr>
                <w:rFonts w:ascii="Times New Roman" w:hAnsi="Times New Roman"/>
                <w:sz w:val="24"/>
                <w:szCs w:val="24"/>
              </w:rPr>
              <w:t>The unit does not ensure clarity of expectations and timelines for the new Core sequence in the initial programs and for the field experiences in the advanced programs among all constituencies. (ITP, ADV)</w:t>
            </w:r>
          </w:p>
        </w:tc>
        <w:tc>
          <w:tcPr>
            <w:tcW w:w="0" w:type="auto"/>
            <w:shd w:val="clear" w:color="auto" w:fill="auto"/>
          </w:tcPr>
          <w:p w14:paraId="471079DE" w14:textId="77777777" w:rsidR="00A17ACA" w:rsidRDefault="00A17ACA" w:rsidP="00A17ACA">
            <w:pPr>
              <w:pStyle w:val="MediumGrid1-Accent21"/>
              <w:spacing w:before="120" w:after="120" w:line="240" w:lineRule="auto"/>
              <w:ind w:left="0"/>
              <w:rPr>
                <w:rFonts w:ascii="Times New Roman" w:hAnsi="Times New Roman"/>
                <w:sz w:val="24"/>
                <w:szCs w:val="24"/>
              </w:rPr>
            </w:pPr>
            <w:r>
              <w:rPr>
                <w:rFonts w:ascii="Times New Roman" w:hAnsi="Times New Roman"/>
                <w:sz w:val="24"/>
                <w:szCs w:val="24"/>
              </w:rPr>
              <w:t xml:space="preserve">a. </w:t>
            </w:r>
            <w:r w:rsidRPr="00F03191">
              <w:rPr>
                <w:rFonts w:ascii="Times New Roman" w:hAnsi="Times New Roman"/>
                <w:sz w:val="24"/>
                <w:szCs w:val="24"/>
              </w:rPr>
              <w:t xml:space="preserve">Based on information obtained from interviews and from documentation provided, it appears that the unit has not clearly articulated with candidates, faculty members, and P-12 colleagues the differences between the old and the new field and clinical experience models, and the date(s) for implementation.  According to a meeting with the unit head and the NCATE coordinator, the new Core I is being implemented in fall 2016, and by fall 2018, each of the four new Cores will be in place for all initial undergraduates and initial graduate candidates.  However, according to meetings with the director of OECE, university supervisors, and candidates, and information contained in the Clinical Experience and Student Teaching Handbook, it appears that all of the new Cores are being implemented now.  </w:t>
            </w:r>
          </w:p>
          <w:p w14:paraId="5E200C71" w14:textId="77777777" w:rsidR="00A17ACA" w:rsidRPr="00CF6F7B" w:rsidRDefault="00A17ACA" w:rsidP="00A17ACA">
            <w:pPr>
              <w:pStyle w:val="MediumGrid1-Accent21"/>
              <w:spacing w:before="120" w:after="120" w:line="240" w:lineRule="auto"/>
              <w:ind w:left="0"/>
              <w:rPr>
                <w:rFonts w:ascii="Times New Roman" w:hAnsi="Times New Roman"/>
                <w:sz w:val="24"/>
                <w:szCs w:val="24"/>
              </w:rPr>
            </w:pPr>
            <w:r>
              <w:rPr>
                <w:rFonts w:ascii="Times New Roman" w:hAnsi="Times New Roman"/>
                <w:sz w:val="24"/>
                <w:szCs w:val="24"/>
              </w:rPr>
              <w:t xml:space="preserve">b. </w:t>
            </w:r>
            <w:r w:rsidRPr="00F03191">
              <w:rPr>
                <w:rFonts w:ascii="Times New Roman" w:hAnsi="Times New Roman"/>
                <w:sz w:val="24"/>
                <w:szCs w:val="24"/>
              </w:rPr>
              <w:t>Candidates in the advanced programs complete a field experience in EDU 518: Methods of Teaching English Language Learners. The unit has developed one new masters of education program that includes field experiences; however, the requirements for the field experiences were not provided.</w:t>
            </w:r>
          </w:p>
        </w:tc>
        <w:tc>
          <w:tcPr>
            <w:tcW w:w="0" w:type="auto"/>
          </w:tcPr>
          <w:p w14:paraId="5BC8561F" w14:textId="77777777" w:rsidR="008E360A" w:rsidRDefault="00A17ACA" w:rsidP="00A17ACA">
            <w:pPr>
              <w:spacing w:before="120" w:after="120"/>
              <w:rPr>
                <w:rFonts w:eastAsia="Calibri"/>
                <w:sz w:val="24"/>
                <w:szCs w:val="24"/>
              </w:rPr>
            </w:pPr>
            <w:r w:rsidRPr="00CF6F7B">
              <w:rPr>
                <w:rFonts w:eastAsia="Calibri"/>
                <w:sz w:val="24"/>
                <w:szCs w:val="24"/>
              </w:rPr>
              <w:t xml:space="preserve">a. </w:t>
            </w:r>
            <w:r w:rsidRPr="00CF6F7B">
              <w:rPr>
                <w:rFonts w:eastAsia="Calibri"/>
                <w:sz w:val="24"/>
                <w:szCs w:val="24"/>
                <w:u w:val="single"/>
              </w:rPr>
              <w:t>Initial</w:t>
            </w:r>
            <w:r w:rsidRPr="00CF6F7B">
              <w:rPr>
                <w:rFonts w:eastAsia="Calibri"/>
                <w:sz w:val="24"/>
                <w:szCs w:val="24"/>
              </w:rPr>
              <w:t xml:space="preserve">: </w:t>
            </w:r>
            <w:r w:rsidR="008E360A">
              <w:rPr>
                <w:rFonts w:eastAsia="Calibri"/>
                <w:sz w:val="24"/>
                <w:szCs w:val="24"/>
              </w:rPr>
              <w:t>It is true that each of the four new Core assessments (Core I, II, III portfolio and edTPA) will be in place for all candidates by Fall 2018.</w:t>
            </w:r>
          </w:p>
          <w:p w14:paraId="0E8A403E" w14:textId="0DF81641" w:rsidR="00A17ACA" w:rsidRPr="00CF6F7B" w:rsidRDefault="008E360A" w:rsidP="00A17ACA">
            <w:pPr>
              <w:spacing w:before="120" w:after="120"/>
              <w:rPr>
                <w:rFonts w:eastAsia="Calibri"/>
                <w:sz w:val="24"/>
                <w:szCs w:val="24"/>
              </w:rPr>
            </w:pPr>
            <w:r>
              <w:rPr>
                <w:rFonts w:eastAsia="Calibri"/>
                <w:sz w:val="24"/>
                <w:szCs w:val="24"/>
              </w:rPr>
              <w:t>We believe that the confusion in implementation or l</w:t>
            </w:r>
            <w:r w:rsidR="00A17ACA" w:rsidRPr="00CF6F7B">
              <w:rPr>
                <w:rFonts w:eastAsia="Calibri"/>
                <w:sz w:val="24"/>
                <w:szCs w:val="24"/>
              </w:rPr>
              <w:t xml:space="preserve">ack of clarity may stem from varied references to </w:t>
            </w:r>
            <w:r w:rsidR="00D93587">
              <w:rPr>
                <w:rFonts w:eastAsia="Calibri"/>
                <w:sz w:val="24"/>
                <w:szCs w:val="24"/>
              </w:rPr>
              <w:t>“</w:t>
            </w:r>
            <w:r w:rsidR="00A17ACA" w:rsidRPr="00CF6F7B">
              <w:rPr>
                <w:rFonts w:eastAsia="Calibri"/>
                <w:sz w:val="24"/>
                <w:szCs w:val="24"/>
              </w:rPr>
              <w:t>Core</w:t>
            </w:r>
            <w:r w:rsidR="00D93587">
              <w:rPr>
                <w:rFonts w:eastAsia="Calibri"/>
                <w:sz w:val="24"/>
                <w:szCs w:val="24"/>
              </w:rPr>
              <w:t>”</w:t>
            </w:r>
            <w:r w:rsidR="00A17ACA" w:rsidRPr="00CF6F7B">
              <w:rPr>
                <w:rFonts w:eastAsia="Calibri"/>
                <w:sz w:val="24"/>
                <w:szCs w:val="24"/>
              </w:rPr>
              <w:t xml:space="preserve"> in different contexts and by different constituents. We clarify the distinction between the various references </w:t>
            </w:r>
            <w:r w:rsidR="00A17ACA">
              <w:rPr>
                <w:rFonts w:eastAsia="Calibri"/>
                <w:sz w:val="24"/>
                <w:szCs w:val="24"/>
              </w:rPr>
              <w:t xml:space="preserve">in the narrative above and in Table </w:t>
            </w:r>
            <w:r w:rsidR="001E37CC">
              <w:rPr>
                <w:rFonts w:eastAsia="Calibri"/>
                <w:sz w:val="24"/>
                <w:szCs w:val="24"/>
              </w:rPr>
              <w:t>3</w:t>
            </w:r>
            <w:r w:rsidR="00A17ACA" w:rsidRPr="00CF6F7B">
              <w:rPr>
                <w:rFonts w:eastAsia="Calibri"/>
                <w:sz w:val="24"/>
                <w:szCs w:val="24"/>
              </w:rPr>
              <w:t>.</w:t>
            </w:r>
            <w:r w:rsidR="00A17ACA">
              <w:rPr>
                <w:rFonts w:eastAsia="Calibri"/>
                <w:sz w:val="24"/>
                <w:szCs w:val="24"/>
              </w:rPr>
              <w:t xml:space="preserve">  </w:t>
            </w:r>
          </w:p>
          <w:p w14:paraId="68CF414B" w14:textId="3F464B33" w:rsidR="00A17ACA" w:rsidRDefault="00A17ACA" w:rsidP="00A17ACA">
            <w:pPr>
              <w:spacing w:before="120" w:after="120"/>
              <w:rPr>
                <w:rFonts w:eastAsia="Calibri"/>
                <w:sz w:val="24"/>
                <w:szCs w:val="24"/>
              </w:rPr>
            </w:pPr>
            <w:r w:rsidRPr="00CF6F7B">
              <w:rPr>
                <w:rFonts w:eastAsia="Calibri"/>
                <w:sz w:val="24"/>
                <w:szCs w:val="24"/>
              </w:rPr>
              <w:t xml:space="preserve">b. </w:t>
            </w:r>
            <w:r w:rsidRPr="00CF6F7B">
              <w:rPr>
                <w:rFonts w:eastAsia="Calibri"/>
                <w:sz w:val="24"/>
                <w:szCs w:val="24"/>
                <w:u w:val="single"/>
              </w:rPr>
              <w:t>Advanced</w:t>
            </w:r>
            <w:r w:rsidRPr="00CF6F7B">
              <w:rPr>
                <w:rFonts w:eastAsia="Calibri"/>
                <w:sz w:val="24"/>
                <w:szCs w:val="24"/>
              </w:rPr>
              <w:t>: Clinical expectations for the current and newly developed advanced master</w:t>
            </w:r>
            <w:r>
              <w:rPr>
                <w:rFonts w:eastAsia="Calibri"/>
                <w:sz w:val="24"/>
                <w:szCs w:val="24"/>
              </w:rPr>
              <w:t>’</w:t>
            </w:r>
            <w:r w:rsidRPr="00CF6F7B">
              <w:rPr>
                <w:rFonts w:eastAsia="Calibri"/>
                <w:sz w:val="24"/>
                <w:szCs w:val="24"/>
              </w:rPr>
              <w:t>s program remain the same and is embedded within EDU 518</w:t>
            </w:r>
            <w:r w:rsidR="00F83A38">
              <w:rPr>
                <w:rFonts w:eastAsia="Calibri"/>
                <w:sz w:val="24"/>
                <w:szCs w:val="24"/>
              </w:rPr>
              <w:t>: Methods of Teaching English Language Learners</w:t>
            </w:r>
            <w:r w:rsidRPr="00CF6F7B">
              <w:rPr>
                <w:rFonts w:eastAsia="Calibri"/>
                <w:sz w:val="24"/>
                <w:szCs w:val="24"/>
              </w:rPr>
              <w:t>.</w:t>
            </w:r>
            <w:r>
              <w:rPr>
                <w:rFonts w:eastAsia="Calibri"/>
                <w:sz w:val="24"/>
                <w:szCs w:val="24"/>
              </w:rPr>
              <w:t xml:space="preserve"> Data from this clinical experience (including guidelines and rubric) were shared with the Institutional report and with the visiting team.</w:t>
            </w:r>
            <w:r>
              <w:rPr>
                <w:sz w:val="24"/>
                <w:szCs w:val="24"/>
              </w:rPr>
              <w:t xml:space="preserve"> The assessment schema for the new advanced master’s program with concentrations has been completed since the site visit and will be provided during the next accreditation cycle, contingent upon state approval.</w:t>
            </w:r>
          </w:p>
          <w:p w14:paraId="7208D1FB" w14:textId="77777777" w:rsidR="00A17ACA" w:rsidRPr="00CF6F7B" w:rsidRDefault="00A17ACA" w:rsidP="00A17ACA">
            <w:pPr>
              <w:spacing w:before="120" w:after="120"/>
              <w:rPr>
                <w:rFonts w:eastAsia="Calibri"/>
                <w:sz w:val="24"/>
                <w:szCs w:val="24"/>
              </w:rPr>
            </w:pPr>
          </w:p>
        </w:tc>
      </w:tr>
      <w:tr w:rsidR="00A17ACA" w:rsidRPr="00CF6F7B" w14:paraId="2B4D6D52" w14:textId="77777777" w:rsidTr="00A17ACA">
        <w:trPr>
          <w:trHeight w:val="3486"/>
        </w:trPr>
        <w:tc>
          <w:tcPr>
            <w:tcW w:w="0" w:type="auto"/>
          </w:tcPr>
          <w:p w14:paraId="75C73A98" w14:textId="77777777" w:rsidR="00A17ACA" w:rsidRPr="00CF6F7B" w:rsidRDefault="00A17ACA" w:rsidP="00A17ACA">
            <w:pPr>
              <w:pStyle w:val="MediumGrid1-Accent21"/>
              <w:spacing w:before="120" w:after="120" w:line="240" w:lineRule="auto"/>
              <w:ind w:left="0"/>
              <w:rPr>
                <w:rFonts w:ascii="Times New Roman" w:hAnsi="Times New Roman"/>
                <w:sz w:val="24"/>
                <w:szCs w:val="24"/>
              </w:rPr>
            </w:pPr>
            <w:r w:rsidRPr="00CF6F7B">
              <w:rPr>
                <w:rFonts w:ascii="Times New Roman" w:hAnsi="Times New Roman"/>
                <w:sz w:val="24"/>
                <w:szCs w:val="24"/>
              </w:rPr>
              <w:t xml:space="preserve">2. </w:t>
            </w:r>
            <w:r w:rsidRPr="006472BA">
              <w:rPr>
                <w:rFonts w:ascii="Times New Roman" w:eastAsia="Times New Roman" w:hAnsi="Times New Roman"/>
                <w:sz w:val="24"/>
                <w:szCs w:val="24"/>
              </w:rPr>
              <w:t xml:space="preserve"> </w:t>
            </w:r>
            <w:r w:rsidRPr="006472BA">
              <w:rPr>
                <w:rFonts w:ascii="Times New Roman" w:hAnsi="Times New Roman"/>
                <w:sz w:val="24"/>
                <w:szCs w:val="24"/>
              </w:rPr>
              <w:t>There is no formal structure in place to ensure that the unit’s school partners and other members of the professional community are systematically and regularly involved in the design delivery, and evaluation of field and clinical experiences. (ITP, ADV)</w:t>
            </w:r>
          </w:p>
        </w:tc>
        <w:tc>
          <w:tcPr>
            <w:tcW w:w="0" w:type="auto"/>
            <w:shd w:val="clear" w:color="auto" w:fill="auto"/>
          </w:tcPr>
          <w:p w14:paraId="771FD0CD" w14:textId="77777777" w:rsidR="00A17ACA" w:rsidRPr="00CF6F7B" w:rsidRDefault="00A17ACA" w:rsidP="00A17ACA">
            <w:pPr>
              <w:pStyle w:val="MediumGrid1-Accent21"/>
              <w:spacing w:before="120" w:after="120" w:line="240" w:lineRule="auto"/>
              <w:ind w:left="0"/>
              <w:rPr>
                <w:rFonts w:ascii="Times New Roman" w:hAnsi="Times New Roman"/>
                <w:sz w:val="24"/>
                <w:szCs w:val="24"/>
              </w:rPr>
            </w:pPr>
            <w:r w:rsidRPr="006472BA">
              <w:rPr>
                <w:rFonts w:ascii="Times New Roman" w:hAnsi="Times New Roman"/>
                <w:sz w:val="24"/>
                <w:szCs w:val="24"/>
              </w:rPr>
              <w:t>Isolated examples were provided of how P-12 partners have provided formal or informal feedback to the unit. The director of OECE maintains very close and excellent relationships with teachers and administrators in the local school districts and as a result, informal feedback occurs.  The unit is planning to establish a Professional Learning Council for the purpose of involving P-12 partners and others; however, it was not in place at the time of the visit.</w:t>
            </w:r>
          </w:p>
        </w:tc>
        <w:tc>
          <w:tcPr>
            <w:tcW w:w="0" w:type="auto"/>
          </w:tcPr>
          <w:p w14:paraId="1A9A44C8" w14:textId="7055010E" w:rsidR="00A17ACA" w:rsidRPr="00CF6F7B" w:rsidRDefault="00A17ACA" w:rsidP="008E360A">
            <w:pPr>
              <w:spacing w:before="120" w:after="120"/>
              <w:rPr>
                <w:rFonts w:eastAsia="Calibri"/>
                <w:sz w:val="24"/>
                <w:szCs w:val="24"/>
              </w:rPr>
            </w:pPr>
            <w:r w:rsidRPr="00CF6F7B">
              <w:rPr>
                <w:rFonts w:eastAsia="Calibri"/>
                <w:sz w:val="24"/>
                <w:szCs w:val="24"/>
              </w:rPr>
              <w:t>ECSU has long established formal and informal partnership</w:t>
            </w:r>
            <w:r>
              <w:rPr>
                <w:rFonts w:eastAsia="Calibri"/>
                <w:sz w:val="24"/>
                <w:szCs w:val="24"/>
              </w:rPr>
              <w:t>s</w:t>
            </w:r>
            <w:r w:rsidRPr="00CF6F7B">
              <w:rPr>
                <w:rFonts w:eastAsia="Calibri"/>
                <w:sz w:val="24"/>
                <w:szCs w:val="24"/>
              </w:rPr>
              <w:t xml:space="preserve"> with</w:t>
            </w:r>
            <w:r>
              <w:rPr>
                <w:rFonts w:eastAsia="Calibri"/>
                <w:sz w:val="24"/>
                <w:szCs w:val="24"/>
              </w:rPr>
              <w:t xml:space="preserve"> the</w:t>
            </w:r>
            <w:r w:rsidRPr="00CF6F7B">
              <w:rPr>
                <w:rFonts w:eastAsia="Calibri"/>
                <w:sz w:val="24"/>
                <w:szCs w:val="24"/>
              </w:rPr>
              <w:t xml:space="preserve"> P-12 </w:t>
            </w:r>
            <w:r>
              <w:rPr>
                <w:rFonts w:eastAsia="Calibri"/>
                <w:sz w:val="24"/>
                <w:szCs w:val="24"/>
              </w:rPr>
              <w:t>community. Formal partnerships are typically outlined by MOUs. As in the case with the graduate internship program (</w:t>
            </w:r>
            <w:r w:rsidR="00D53C74">
              <w:rPr>
                <w:rFonts w:eastAsia="Calibri"/>
                <w:sz w:val="24"/>
                <w:szCs w:val="24"/>
              </w:rPr>
              <w:t xml:space="preserve">see </w:t>
            </w:r>
            <w:r>
              <w:rPr>
                <w:rFonts w:eastAsia="Calibri"/>
                <w:sz w:val="24"/>
                <w:szCs w:val="24"/>
              </w:rPr>
              <w:t>exhibit</w:t>
            </w:r>
            <w:r w:rsidR="00D53C74">
              <w:rPr>
                <w:rFonts w:eastAsia="Calibri"/>
                <w:sz w:val="24"/>
                <w:szCs w:val="24"/>
              </w:rPr>
              <w:t xml:space="preserve"> for 3.1a in Institutional Report on Memorandum of Understanding with Coventry School District</w:t>
            </w:r>
            <w:r>
              <w:rPr>
                <w:rFonts w:eastAsia="Calibri"/>
                <w:sz w:val="24"/>
                <w:szCs w:val="24"/>
              </w:rPr>
              <w:t xml:space="preserve">) the initiative is mutually designed and managed in terms of goals, day-to-day operations, and evaluation. Regular collaborations consist of the Dean’s annual meeting with school superintendents to discuss and plan according </w:t>
            </w:r>
            <w:r w:rsidRPr="00D53C74">
              <w:rPr>
                <w:rFonts w:eastAsia="Calibri"/>
                <w:sz w:val="24"/>
                <w:szCs w:val="24"/>
              </w:rPr>
              <w:t>to the ongoing needs within the community (</w:t>
            </w:r>
            <w:r w:rsidR="00D53C74" w:rsidRPr="009F167A">
              <w:rPr>
                <w:rFonts w:eastAsia="Calibri"/>
                <w:sz w:val="24"/>
                <w:szCs w:val="24"/>
              </w:rPr>
              <w:t xml:space="preserve">see </w:t>
            </w:r>
            <w:r w:rsidRPr="009F167A">
              <w:rPr>
                <w:rFonts w:eastAsia="Calibri"/>
                <w:sz w:val="24"/>
                <w:szCs w:val="24"/>
              </w:rPr>
              <w:t>exhibit</w:t>
            </w:r>
            <w:r w:rsidR="00D53C74" w:rsidRPr="00D53C74">
              <w:rPr>
                <w:rFonts w:eastAsia="Calibri"/>
                <w:sz w:val="24"/>
                <w:szCs w:val="24"/>
              </w:rPr>
              <w:t xml:space="preserve"> </w:t>
            </w:r>
            <w:r w:rsidR="00D53C74" w:rsidRPr="009F167A">
              <w:rPr>
                <w:rFonts w:eastAsia="Calibri"/>
                <w:sz w:val="24"/>
                <w:szCs w:val="24"/>
              </w:rPr>
              <w:t>for 2.2 in Institutional Report on Meeting</w:t>
            </w:r>
            <w:r w:rsidR="00D53C74">
              <w:rPr>
                <w:rFonts w:eastAsia="Calibri"/>
                <w:sz w:val="24"/>
                <w:szCs w:val="24"/>
              </w:rPr>
              <w:t xml:space="preserve"> with </w:t>
            </w:r>
            <w:r w:rsidR="00F629BD">
              <w:rPr>
                <w:rFonts w:eastAsia="Calibri"/>
                <w:sz w:val="24"/>
                <w:szCs w:val="24"/>
              </w:rPr>
              <w:t>Superintendents and Superintendents Meeting Minutes Fall 2016 in Onsite evidence for Standard 3)</w:t>
            </w:r>
            <w:r>
              <w:rPr>
                <w:rFonts w:eastAsia="Calibri"/>
                <w:sz w:val="24"/>
                <w:szCs w:val="24"/>
              </w:rPr>
              <w:t xml:space="preserve">. </w:t>
            </w:r>
            <w:r w:rsidRPr="00CF6F7B">
              <w:rPr>
                <w:rFonts w:eastAsia="Calibri"/>
                <w:sz w:val="24"/>
                <w:szCs w:val="24"/>
              </w:rPr>
              <w:t>More detail and our current plans to</w:t>
            </w:r>
            <w:r w:rsidR="008E360A">
              <w:rPr>
                <w:rFonts w:eastAsia="Calibri"/>
                <w:sz w:val="24"/>
                <w:szCs w:val="24"/>
              </w:rPr>
              <w:t>wards</w:t>
            </w:r>
            <w:r w:rsidRPr="00CF6F7B">
              <w:rPr>
                <w:rFonts w:eastAsia="Calibri"/>
                <w:sz w:val="24"/>
                <w:szCs w:val="24"/>
              </w:rPr>
              <w:t xml:space="preserve"> strengthening this relationship </w:t>
            </w:r>
            <w:r w:rsidR="009F167A">
              <w:rPr>
                <w:rFonts w:eastAsia="Calibri"/>
                <w:sz w:val="24"/>
                <w:szCs w:val="24"/>
              </w:rPr>
              <w:t xml:space="preserve">were </w:t>
            </w:r>
            <w:r w:rsidRPr="00CF6F7B">
              <w:rPr>
                <w:rFonts w:eastAsia="Calibri"/>
                <w:sz w:val="24"/>
                <w:szCs w:val="24"/>
              </w:rPr>
              <w:t>shared with the visiting team</w:t>
            </w:r>
            <w:r w:rsidR="009F167A">
              <w:rPr>
                <w:rFonts w:eastAsia="Calibri"/>
                <w:sz w:val="24"/>
                <w:szCs w:val="24"/>
              </w:rPr>
              <w:t xml:space="preserve"> </w:t>
            </w:r>
            <w:r>
              <w:rPr>
                <w:rFonts w:eastAsia="Calibri"/>
                <w:sz w:val="24"/>
                <w:szCs w:val="24"/>
              </w:rPr>
              <w:t>including details about the Professional Learning Council</w:t>
            </w:r>
            <w:r w:rsidR="009F167A">
              <w:rPr>
                <w:rFonts w:eastAsia="Calibri"/>
                <w:sz w:val="24"/>
                <w:szCs w:val="24"/>
              </w:rPr>
              <w:t xml:space="preserve"> (onsite evidence </w:t>
            </w:r>
            <w:r w:rsidR="00F629BD">
              <w:rPr>
                <w:rFonts w:eastAsia="Calibri"/>
                <w:sz w:val="24"/>
                <w:szCs w:val="24"/>
              </w:rPr>
              <w:t>under Standard 3</w:t>
            </w:r>
            <w:r w:rsidR="009F167A">
              <w:rPr>
                <w:rFonts w:eastAsia="Calibri"/>
                <w:sz w:val="24"/>
                <w:szCs w:val="24"/>
              </w:rPr>
              <w:t>).</w:t>
            </w:r>
          </w:p>
        </w:tc>
      </w:tr>
    </w:tbl>
    <w:p w14:paraId="70018965" w14:textId="77777777" w:rsidR="00A17ACA" w:rsidRDefault="00A17ACA" w:rsidP="00EB0DC2">
      <w:pPr>
        <w:spacing w:before="120" w:after="120"/>
        <w:jc w:val="center"/>
        <w:rPr>
          <w:b/>
          <w:sz w:val="24"/>
          <w:szCs w:val="24"/>
        </w:rPr>
      </w:pPr>
    </w:p>
    <w:p w14:paraId="6C6B26E6" w14:textId="77777777" w:rsidR="00A17ACA" w:rsidRDefault="00A17ACA">
      <w:pPr>
        <w:rPr>
          <w:b/>
          <w:sz w:val="24"/>
          <w:szCs w:val="24"/>
        </w:rPr>
      </w:pPr>
      <w:r>
        <w:rPr>
          <w:b/>
          <w:sz w:val="24"/>
          <w:szCs w:val="24"/>
        </w:rPr>
        <w:br w:type="page"/>
      </w:r>
    </w:p>
    <w:p w14:paraId="68D8F508" w14:textId="0600EC05" w:rsidR="00E641B8" w:rsidRPr="00EB0DC2" w:rsidRDefault="00483CC5" w:rsidP="00EB0DC2">
      <w:pPr>
        <w:spacing w:before="120" w:after="120"/>
        <w:jc w:val="center"/>
        <w:rPr>
          <w:b/>
          <w:sz w:val="24"/>
          <w:szCs w:val="24"/>
        </w:rPr>
      </w:pPr>
      <w:r>
        <w:rPr>
          <w:b/>
          <w:sz w:val="24"/>
          <w:szCs w:val="24"/>
        </w:rPr>
        <w:t>Table 3</w:t>
      </w:r>
      <w:r w:rsidR="00AF0178" w:rsidRPr="00EB0DC2">
        <w:rPr>
          <w:b/>
          <w:sz w:val="24"/>
          <w:szCs w:val="24"/>
        </w:rPr>
        <w:t xml:space="preserve">: Clarification </w:t>
      </w:r>
      <w:r w:rsidR="005D7A94" w:rsidRPr="00EB0DC2">
        <w:rPr>
          <w:b/>
          <w:sz w:val="24"/>
          <w:szCs w:val="24"/>
        </w:rPr>
        <w:t>between various references to</w:t>
      </w:r>
      <w:r w:rsidR="00EB0DC2" w:rsidRPr="00EB0DC2">
        <w:rPr>
          <w:b/>
          <w:sz w:val="24"/>
          <w:szCs w:val="24"/>
        </w:rPr>
        <w:t xml:space="preserve"> Core</w:t>
      </w:r>
    </w:p>
    <w:tbl>
      <w:tblPr>
        <w:tblStyle w:val="TableGrid"/>
        <w:tblW w:w="0" w:type="auto"/>
        <w:tblLook w:val="04A0" w:firstRow="1" w:lastRow="0" w:firstColumn="1" w:lastColumn="0" w:noHBand="0" w:noVBand="1"/>
      </w:tblPr>
      <w:tblGrid>
        <w:gridCol w:w="918"/>
        <w:gridCol w:w="2396"/>
        <w:gridCol w:w="2935"/>
        <w:gridCol w:w="3125"/>
        <w:gridCol w:w="3576"/>
      </w:tblGrid>
      <w:tr w:rsidR="00CF7D4E" w:rsidRPr="00097785" w14:paraId="5266C9C7" w14:textId="77777777" w:rsidTr="00EB0DC2">
        <w:tc>
          <w:tcPr>
            <w:tcW w:w="0" w:type="auto"/>
          </w:tcPr>
          <w:p w14:paraId="71EBCF85" w14:textId="4FC6843D" w:rsidR="00E641B8" w:rsidRPr="00097785" w:rsidRDefault="00E641B8" w:rsidP="00E641B8">
            <w:pPr>
              <w:spacing w:before="120" w:after="120"/>
              <w:jc w:val="center"/>
              <w:rPr>
                <w:rFonts w:ascii="Times New Roman" w:hAnsi="Times New Roman"/>
                <w:b/>
                <w:sz w:val="24"/>
                <w:szCs w:val="24"/>
              </w:rPr>
            </w:pPr>
            <w:r w:rsidRPr="00097785">
              <w:rPr>
                <w:rFonts w:ascii="Times New Roman" w:hAnsi="Times New Roman"/>
                <w:b/>
                <w:sz w:val="24"/>
                <w:szCs w:val="24"/>
              </w:rPr>
              <w:t>CORE</w:t>
            </w:r>
          </w:p>
        </w:tc>
        <w:tc>
          <w:tcPr>
            <w:tcW w:w="0" w:type="auto"/>
          </w:tcPr>
          <w:p w14:paraId="7E851E98" w14:textId="0DCBF7EC" w:rsidR="00E641B8" w:rsidRPr="00097785" w:rsidRDefault="00E641B8" w:rsidP="00E641B8">
            <w:pPr>
              <w:spacing w:before="120" w:after="120"/>
              <w:jc w:val="center"/>
              <w:rPr>
                <w:rFonts w:ascii="Times New Roman" w:hAnsi="Times New Roman"/>
                <w:b/>
                <w:sz w:val="24"/>
                <w:szCs w:val="24"/>
              </w:rPr>
            </w:pPr>
            <w:r w:rsidRPr="00097785">
              <w:rPr>
                <w:rFonts w:ascii="Times New Roman" w:hAnsi="Times New Roman"/>
                <w:b/>
                <w:sz w:val="24"/>
                <w:szCs w:val="24"/>
              </w:rPr>
              <w:t>Candidates</w:t>
            </w:r>
          </w:p>
        </w:tc>
        <w:tc>
          <w:tcPr>
            <w:tcW w:w="0" w:type="auto"/>
          </w:tcPr>
          <w:p w14:paraId="02A60ADE" w14:textId="77777777" w:rsidR="00E641B8" w:rsidRDefault="00E641B8" w:rsidP="00E641B8">
            <w:pPr>
              <w:spacing w:before="120" w:after="120"/>
              <w:jc w:val="center"/>
              <w:rPr>
                <w:rFonts w:ascii="Times New Roman" w:hAnsi="Times New Roman"/>
                <w:b/>
                <w:sz w:val="24"/>
                <w:szCs w:val="24"/>
              </w:rPr>
            </w:pPr>
            <w:r w:rsidRPr="00097785">
              <w:rPr>
                <w:rFonts w:ascii="Times New Roman" w:hAnsi="Times New Roman"/>
                <w:b/>
                <w:sz w:val="24"/>
                <w:szCs w:val="24"/>
              </w:rPr>
              <w:t>Curricula</w:t>
            </w:r>
          </w:p>
          <w:p w14:paraId="53F3A208" w14:textId="36FB890B" w:rsidR="00AF0178" w:rsidRPr="00AF0178" w:rsidRDefault="00AF0178" w:rsidP="00E641B8">
            <w:pPr>
              <w:spacing w:before="120" w:after="120"/>
              <w:jc w:val="center"/>
              <w:rPr>
                <w:rFonts w:ascii="Times New Roman" w:hAnsi="Times New Roman"/>
                <w:sz w:val="24"/>
                <w:szCs w:val="24"/>
              </w:rPr>
            </w:pPr>
            <w:r w:rsidRPr="00AF0178">
              <w:rPr>
                <w:rFonts w:ascii="Times New Roman" w:hAnsi="Times New Roman"/>
                <w:sz w:val="24"/>
                <w:szCs w:val="24"/>
              </w:rPr>
              <w:t>(often referred as Core # by faculty and candidates)</w:t>
            </w:r>
          </w:p>
        </w:tc>
        <w:tc>
          <w:tcPr>
            <w:tcW w:w="0" w:type="auto"/>
          </w:tcPr>
          <w:p w14:paraId="6AC52CC8" w14:textId="77777777" w:rsidR="00E641B8" w:rsidRDefault="00E641B8" w:rsidP="00E641B8">
            <w:pPr>
              <w:spacing w:before="120" w:after="120"/>
              <w:jc w:val="center"/>
              <w:rPr>
                <w:rFonts w:ascii="Times New Roman" w:hAnsi="Times New Roman"/>
                <w:b/>
                <w:sz w:val="24"/>
                <w:szCs w:val="24"/>
              </w:rPr>
            </w:pPr>
            <w:r w:rsidRPr="00097785">
              <w:rPr>
                <w:rFonts w:ascii="Times New Roman" w:hAnsi="Times New Roman"/>
                <w:b/>
                <w:sz w:val="24"/>
                <w:szCs w:val="24"/>
              </w:rPr>
              <w:t>Clinical Experience</w:t>
            </w:r>
          </w:p>
          <w:p w14:paraId="449BEDA4" w14:textId="3CF2F107" w:rsidR="00AF0178" w:rsidRPr="00AF0178" w:rsidRDefault="00AF0178" w:rsidP="00AF0178">
            <w:pPr>
              <w:spacing w:before="120" w:after="120"/>
              <w:jc w:val="center"/>
              <w:rPr>
                <w:rFonts w:ascii="Times New Roman" w:hAnsi="Times New Roman"/>
                <w:sz w:val="24"/>
                <w:szCs w:val="24"/>
              </w:rPr>
            </w:pPr>
            <w:r w:rsidRPr="00AF0178">
              <w:rPr>
                <w:rFonts w:ascii="Times New Roman" w:hAnsi="Times New Roman"/>
                <w:sz w:val="24"/>
                <w:szCs w:val="24"/>
              </w:rPr>
              <w:t xml:space="preserve">(often referred </w:t>
            </w:r>
            <w:r>
              <w:rPr>
                <w:rFonts w:ascii="Times New Roman" w:hAnsi="Times New Roman"/>
                <w:sz w:val="24"/>
                <w:szCs w:val="24"/>
              </w:rPr>
              <w:t xml:space="preserve">as </w:t>
            </w:r>
            <w:r w:rsidRPr="00AF0178">
              <w:rPr>
                <w:rFonts w:ascii="Times New Roman" w:hAnsi="Times New Roman"/>
                <w:sz w:val="24"/>
                <w:szCs w:val="24"/>
              </w:rPr>
              <w:t xml:space="preserve">Core # </w:t>
            </w:r>
            <w:r>
              <w:rPr>
                <w:rFonts w:ascii="Times New Roman" w:hAnsi="Times New Roman"/>
                <w:sz w:val="24"/>
                <w:szCs w:val="24"/>
              </w:rPr>
              <w:t xml:space="preserve">within the context of </w:t>
            </w:r>
            <w:r w:rsidRPr="00AF0178">
              <w:rPr>
                <w:rFonts w:ascii="Times New Roman" w:hAnsi="Times New Roman"/>
                <w:sz w:val="24"/>
                <w:szCs w:val="24"/>
              </w:rPr>
              <w:t xml:space="preserve">clinical </w:t>
            </w:r>
            <w:r>
              <w:rPr>
                <w:rFonts w:ascii="Times New Roman" w:hAnsi="Times New Roman"/>
                <w:sz w:val="24"/>
                <w:szCs w:val="24"/>
              </w:rPr>
              <w:t>experiences</w:t>
            </w:r>
            <w:r w:rsidRPr="00AF0178">
              <w:rPr>
                <w:rFonts w:ascii="Times New Roman" w:hAnsi="Times New Roman"/>
                <w:sz w:val="24"/>
                <w:szCs w:val="24"/>
              </w:rPr>
              <w:t xml:space="preserve"> by faculty, candidates and university supervisors)</w:t>
            </w:r>
          </w:p>
        </w:tc>
        <w:tc>
          <w:tcPr>
            <w:tcW w:w="0" w:type="auto"/>
          </w:tcPr>
          <w:p w14:paraId="29CFEBD8" w14:textId="77777777" w:rsidR="00E641B8" w:rsidRDefault="00E641B8" w:rsidP="00E641B8">
            <w:pPr>
              <w:spacing w:before="120" w:after="120"/>
              <w:jc w:val="center"/>
              <w:rPr>
                <w:rFonts w:ascii="Times New Roman" w:hAnsi="Times New Roman"/>
                <w:b/>
                <w:sz w:val="24"/>
                <w:szCs w:val="24"/>
              </w:rPr>
            </w:pPr>
            <w:r w:rsidRPr="00097785">
              <w:rPr>
                <w:rFonts w:ascii="Times New Roman" w:hAnsi="Times New Roman"/>
                <w:b/>
                <w:sz w:val="24"/>
                <w:szCs w:val="24"/>
              </w:rPr>
              <w:t>New Core Assessments</w:t>
            </w:r>
          </w:p>
          <w:p w14:paraId="2CF87329" w14:textId="6F58CE65" w:rsidR="00AF0178" w:rsidRPr="00AF0178" w:rsidRDefault="00AF0178" w:rsidP="00E641B8">
            <w:pPr>
              <w:spacing w:before="120" w:after="120"/>
              <w:jc w:val="center"/>
              <w:rPr>
                <w:rFonts w:ascii="Times New Roman" w:hAnsi="Times New Roman"/>
                <w:sz w:val="24"/>
                <w:szCs w:val="24"/>
              </w:rPr>
            </w:pPr>
            <w:r>
              <w:rPr>
                <w:rFonts w:ascii="Times New Roman" w:hAnsi="Times New Roman"/>
                <w:sz w:val="24"/>
                <w:szCs w:val="24"/>
              </w:rPr>
              <w:t>(often referred as new Core # portfolio by faculty, candidates, university supervisors)</w:t>
            </w:r>
          </w:p>
        </w:tc>
      </w:tr>
      <w:tr w:rsidR="00CF7D4E" w:rsidRPr="00CF6F7B" w14:paraId="181B42A8" w14:textId="77777777" w:rsidTr="00EB0DC2">
        <w:tc>
          <w:tcPr>
            <w:tcW w:w="0" w:type="auto"/>
          </w:tcPr>
          <w:p w14:paraId="39919FF2" w14:textId="3C71A4C4" w:rsidR="00E641B8" w:rsidRPr="00CF6F7B" w:rsidRDefault="00E641B8" w:rsidP="00872318">
            <w:pPr>
              <w:spacing w:before="120" w:after="120"/>
              <w:rPr>
                <w:rFonts w:ascii="Times New Roman" w:hAnsi="Times New Roman"/>
                <w:sz w:val="24"/>
                <w:szCs w:val="24"/>
              </w:rPr>
            </w:pPr>
            <w:r w:rsidRPr="00CF6F7B">
              <w:rPr>
                <w:rFonts w:ascii="Times New Roman" w:hAnsi="Times New Roman"/>
                <w:sz w:val="24"/>
                <w:szCs w:val="24"/>
              </w:rPr>
              <w:t>Core I</w:t>
            </w:r>
          </w:p>
        </w:tc>
        <w:tc>
          <w:tcPr>
            <w:tcW w:w="0" w:type="auto"/>
          </w:tcPr>
          <w:p w14:paraId="22B1E3AD" w14:textId="6ECAB630" w:rsidR="00E641B8" w:rsidRPr="00CF6F7B" w:rsidRDefault="00E641B8" w:rsidP="00872318">
            <w:pPr>
              <w:spacing w:before="120" w:after="120"/>
              <w:rPr>
                <w:rFonts w:ascii="Times New Roman" w:hAnsi="Times New Roman"/>
                <w:sz w:val="24"/>
                <w:szCs w:val="24"/>
              </w:rPr>
            </w:pPr>
            <w:r w:rsidRPr="00CF6F7B">
              <w:rPr>
                <w:rFonts w:ascii="Times New Roman" w:hAnsi="Times New Roman"/>
                <w:sz w:val="24"/>
                <w:szCs w:val="24"/>
              </w:rPr>
              <w:t>All graduate and undergraduate initial teacher candidates in their first semester or term, after admission to program</w:t>
            </w:r>
          </w:p>
        </w:tc>
        <w:tc>
          <w:tcPr>
            <w:tcW w:w="0" w:type="auto"/>
          </w:tcPr>
          <w:p w14:paraId="1D7838BE" w14:textId="067C26EC" w:rsidR="00E641B8" w:rsidRPr="00CF6F7B" w:rsidRDefault="00BB5CC0" w:rsidP="00872318">
            <w:pPr>
              <w:spacing w:before="120" w:after="120"/>
              <w:rPr>
                <w:rFonts w:ascii="Times New Roman" w:hAnsi="Times New Roman"/>
                <w:sz w:val="24"/>
                <w:szCs w:val="24"/>
              </w:rPr>
            </w:pPr>
            <w:r w:rsidRPr="00CF6F7B">
              <w:rPr>
                <w:rFonts w:ascii="Times New Roman" w:hAnsi="Times New Roman"/>
                <w:sz w:val="24"/>
                <w:szCs w:val="24"/>
              </w:rPr>
              <w:t>Set of 3 to 4 core courses, as determined by program faculty</w:t>
            </w:r>
          </w:p>
        </w:tc>
        <w:tc>
          <w:tcPr>
            <w:tcW w:w="0" w:type="auto"/>
          </w:tcPr>
          <w:p w14:paraId="2825A326" w14:textId="6ECBCB99" w:rsidR="00BB5CC0" w:rsidRPr="00CF6F7B" w:rsidRDefault="00BB5CC0" w:rsidP="00872318">
            <w:pPr>
              <w:spacing w:before="120" w:after="120"/>
              <w:rPr>
                <w:rFonts w:ascii="Times New Roman" w:hAnsi="Times New Roman"/>
                <w:sz w:val="24"/>
                <w:szCs w:val="24"/>
              </w:rPr>
            </w:pPr>
            <w:r w:rsidRPr="00CF6F7B">
              <w:rPr>
                <w:rFonts w:ascii="Times New Roman" w:hAnsi="Times New Roman"/>
                <w:sz w:val="24"/>
                <w:szCs w:val="24"/>
              </w:rPr>
              <w:t xml:space="preserve">Clinical I: 45 clock hours, evaluated by the university supervisor with the Clinical I </w:t>
            </w:r>
            <w:r w:rsidR="00E10A13">
              <w:rPr>
                <w:rFonts w:ascii="Times New Roman" w:hAnsi="Times New Roman"/>
                <w:sz w:val="24"/>
                <w:szCs w:val="24"/>
              </w:rPr>
              <w:t>E</w:t>
            </w:r>
            <w:r w:rsidRPr="00CF6F7B">
              <w:rPr>
                <w:rFonts w:ascii="Times New Roman" w:hAnsi="Times New Roman"/>
                <w:sz w:val="24"/>
                <w:szCs w:val="24"/>
              </w:rPr>
              <w:t>valuation rubric. Rubric and Data were shared at AIMS, onsite and on our website.</w:t>
            </w:r>
          </w:p>
        </w:tc>
        <w:tc>
          <w:tcPr>
            <w:tcW w:w="0" w:type="auto"/>
          </w:tcPr>
          <w:p w14:paraId="46F09F47" w14:textId="6C1C4A45" w:rsidR="00E641B8" w:rsidRPr="00CF6F7B" w:rsidRDefault="00BB5CC0" w:rsidP="00872318">
            <w:pPr>
              <w:spacing w:before="120" w:after="120"/>
              <w:rPr>
                <w:rFonts w:ascii="Times New Roman" w:hAnsi="Times New Roman"/>
                <w:sz w:val="24"/>
                <w:szCs w:val="24"/>
              </w:rPr>
            </w:pPr>
            <w:r w:rsidRPr="00CF6F7B">
              <w:rPr>
                <w:rFonts w:ascii="Times New Roman" w:hAnsi="Times New Roman"/>
                <w:sz w:val="24"/>
                <w:szCs w:val="24"/>
              </w:rPr>
              <w:t xml:space="preserve">Core I portfolio, developed </w:t>
            </w:r>
            <w:r w:rsidR="00A833EA">
              <w:rPr>
                <w:rFonts w:ascii="Times New Roman" w:hAnsi="Times New Roman"/>
                <w:sz w:val="24"/>
                <w:szCs w:val="24"/>
              </w:rPr>
              <w:t xml:space="preserve">and piloted </w:t>
            </w:r>
            <w:r w:rsidRPr="00CF6F7B">
              <w:rPr>
                <w:rFonts w:ascii="Times New Roman" w:hAnsi="Times New Roman"/>
                <w:sz w:val="24"/>
                <w:szCs w:val="24"/>
              </w:rPr>
              <w:t>in Spring 2016, implemented in Fall 2016.  Guidelines for this assessment, including rubrics, and storage in TK20 shared with the visiting team and in AIMS.</w:t>
            </w:r>
          </w:p>
        </w:tc>
      </w:tr>
      <w:tr w:rsidR="00CF7D4E" w:rsidRPr="00CF6F7B" w14:paraId="6B4640DD" w14:textId="77777777" w:rsidTr="00EB0DC2">
        <w:tc>
          <w:tcPr>
            <w:tcW w:w="0" w:type="auto"/>
          </w:tcPr>
          <w:p w14:paraId="64AB180F" w14:textId="01334A90" w:rsidR="00BB5CC0" w:rsidRPr="00CF6F7B" w:rsidRDefault="00BB5CC0" w:rsidP="00872318">
            <w:pPr>
              <w:spacing w:before="120" w:after="120"/>
              <w:rPr>
                <w:rFonts w:ascii="Times New Roman" w:hAnsi="Times New Roman"/>
                <w:sz w:val="24"/>
                <w:szCs w:val="24"/>
              </w:rPr>
            </w:pPr>
            <w:r w:rsidRPr="00CF6F7B">
              <w:rPr>
                <w:rFonts w:ascii="Times New Roman" w:hAnsi="Times New Roman"/>
                <w:sz w:val="24"/>
                <w:szCs w:val="24"/>
              </w:rPr>
              <w:t>Core II</w:t>
            </w:r>
          </w:p>
        </w:tc>
        <w:tc>
          <w:tcPr>
            <w:tcW w:w="0" w:type="auto"/>
          </w:tcPr>
          <w:p w14:paraId="12C6EEE3" w14:textId="2E4E81F3" w:rsidR="00BB5CC0" w:rsidRPr="00CF6F7B" w:rsidRDefault="00BB5CC0" w:rsidP="00BB5CC0">
            <w:pPr>
              <w:spacing w:before="120" w:after="120"/>
              <w:rPr>
                <w:rFonts w:ascii="Times New Roman" w:hAnsi="Times New Roman"/>
                <w:sz w:val="24"/>
                <w:szCs w:val="24"/>
              </w:rPr>
            </w:pPr>
            <w:r w:rsidRPr="00CF6F7B">
              <w:rPr>
                <w:rFonts w:ascii="Times New Roman" w:hAnsi="Times New Roman"/>
                <w:sz w:val="24"/>
                <w:szCs w:val="24"/>
              </w:rPr>
              <w:t>All graduate and undergraduate initial teacher candidates in their second semester or term, after admission to program</w:t>
            </w:r>
          </w:p>
        </w:tc>
        <w:tc>
          <w:tcPr>
            <w:tcW w:w="0" w:type="auto"/>
          </w:tcPr>
          <w:p w14:paraId="74C74278" w14:textId="4FE88177" w:rsidR="00BB5CC0" w:rsidRPr="00CF6F7B" w:rsidRDefault="00BB5CC0" w:rsidP="00872318">
            <w:pPr>
              <w:spacing w:before="120" w:after="120"/>
              <w:rPr>
                <w:rFonts w:ascii="Times New Roman" w:hAnsi="Times New Roman"/>
                <w:sz w:val="24"/>
                <w:szCs w:val="24"/>
              </w:rPr>
            </w:pPr>
            <w:r w:rsidRPr="00CF6F7B">
              <w:rPr>
                <w:rFonts w:ascii="Times New Roman" w:hAnsi="Times New Roman"/>
                <w:sz w:val="24"/>
                <w:szCs w:val="24"/>
              </w:rPr>
              <w:t>Set of 3 to 4 core courses, as determined by program faculty</w:t>
            </w:r>
          </w:p>
        </w:tc>
        <w:tc>
          <w:tcPr>
            <w:tcW w:w="0" w:type="auto"/>
          </w:tcPr>
          <w:p w14:paraId="1B4DE4CA" w14:textId="2F66A7DF" w:rsidR="00BB5CC0" w:rsidRPr="00CF6F7B" w:rsidRDefault="00BB5CC0" w:rsidP="00872318">
            <w:pPr>
              <w:spacing w:before="120" w:after="120"/>
              <w:rPr>
                <w:rFonts w:ascii="Times New Roman" w:hAnsi="Times New Roman"/>
                <w:sz w:val="24"/>
                <w:szCs w:val="24"/>
              </w:rPr>
            </w:pPr>
            <w:r w:rsidRPr="00CF6F7B">
              <w:rPr>
                <w:rFonts w:ascii="Times New Roman" w:hAnsi="Times New Roman"/>
                <w:sz w:val="24"/>
                <w:szCs w:val="24"/>
              </w:rPr>
              <w:t xml:space="preserve">Clinical II: 45 clock hours, evaluated by the university supervisor with the Clinical II </w:t>
            </w:r>
            <w:r w:rsidR="00E10A13">
              <w:rPr>
                <w:rFonts w:ascii="Times New Roman" w:hAnsi="Times New Roman"/>
                <w:sz w:val="24"/>
                <w:szCs w:val="24"/>
              </w:rPr>
              <w:t>E</w:t>
            </w:r>
            <w:r w:rsidRPr="00CF6F7B">
              <w:rPr>
                <w:rFonts w:ascii="Times New Roman" w:hAnsi="Times New Roman"/>
                <w:sz w:val="24"/>
                <w:szCs w:val="24"/>
              </w:rPr>
              <w:t>valuation rubric.  Rubric and Data were shared at AIMS, onsite and on our website.</w:t>
            </w:r>
          </w:p>
        </w:tc>
        <w:tc>
          <w:tcPr>
            <w:tcW w:w="0" w:type="auto"/>
          </w:tcPr>
          <w:p w14:paraId="164EE224" w14:textId="1B4E93E9" w:rsidR="00BB5CC0" w:rsidRPr="00CF6F7B" w:rsidRDefault="00BB5CC0" w:rsidP="00CF7D4E">
            <w:pPr>
              <w:spacing w:before="120" w:after="120"/>
              <w:rPr>
                <w:rFonts w:ascii="Times New Roman" w:hAnsi="Times New Roman"/>
                <w:sz w:val="24"/>
                <w:szCs w:val="24"/>
              </w:rPr>
            </w:pPr>
            <w:r w:rsidRPr="00CF6F7B">
              <w:rPr>
                <w:rFonts w:ascii="Times New Roman" w:hAnsi="Times New Roman"/>
                <w:sz w:val="24"/>
                <w:szCs w:val="24"/>
              </w:rPr>
              <w:t xml:space="preserve">Core II portfolio, developed in Fall 2016, </w:t>
            </w:r>
            <w:r w:rsidR="00CF7D4E">
              <w:rPr>
                <w:rFonts w:ascii="Times New Roman" w:hAnsi="Times New Roman"/>
                <w:sz w:val="24"/>
                <w:szCs w:val="24"/>
              </w:rPr>
              <w:t>and being</w:t>
            </w:r>
            <w:r w:rsidR="00CF7D4E" w:rsidRPr="00CF6F7B">
              <w:rPr>
                <w:rFonts w:ascii="Times New Roman" w:hAnsi="Times New Roman"/>
                <w:sz w:val="24"/>
                <w:szCs w:val="24"/>
              </w:rPr>
              <w:t xml:space="preserve"> </w:t>
            </w:r>
            <w:r w:rsidRPr="00CF6F7B">
              <w:rPr>
                <w:rFonts w:ascii="Times New Roman" w:hAnsi="Times New Roman"/>
                <w:sz w:val="24"/>
                <w:szCs w:val="24"/>
              </w:rPr>
              <w:t xml:space="preserve">implemented </w:t>
            </w:r>
            <w:r w:rsidR="00CF7D4E">
              <w:rPr>
                <w:rFonts w:ascii="Times New Roman" w:hAnsi="Times New Roman"/>
                <w:sz w:val="24"/>
                <w:szCs w:val="24"/>
              </w:rPr>
              <w:t xml:space="preserve">currently, </w:t>
            </w:r>
            <w:r w:rsidRPr="00CF6F7B">
              <w:rPr>
                <w:rFonts w:ascii="Times New Roman" w:hAnsi="Times New Roman"/>
                <w:sz w:val="24"/>
                <w:szCs w:val="24"/>
              </w:rPr>
              <w:t xml:space="preserve">in </w:t>
            </w:r>
            <w:r w:rsidR="00E10A13">
              <w:rPr>
                <w:rFonts w:ascii="Times New Roman" w:hAnsi="Times New Roman"/>
                <w:sz w:val="24"/>
                <w:szCs w:val="24"/>
              </w:rPr>
              <w:t>Spring</w:t>
            </w:r>
            <w:r w:rsidR="00E10A13" w:rsidRPr="00CF6F7B">
              <w:rPr>
                <w:rFonts w:ascii="Times New Roman" w:hAnsi="Times New Roman"/>
                <w:sz w:val="24"/>
                <w:szCs w:val="24"/>
              </w:rPr>
              <w:t xml:space="preserve"> </w:t>
            </w:r>
            <w:r w:rsidRPr="00CF6F7B">
              <w:rPr>
                <w:rFonts w:ascii="Times New Roman" w:hAnsi="Times New Roman"/>
                <w:sz w:val="24"/>
                <w:szCs w:val="24"/>
              </w:rPr>
              <w:t>201</w:t>
            </w:r>
            <w:r w:rsidR="00E10A13">
              <w:rPr>
                <w:rFonts w:ascii="Times New Roman" w:hAnsi="Times New Roman"/>
                <w:sz w:val="24"/>
                <w:szCs w:val="24"/>
              </w:rPr>
              <w:t>7</w:t>
            </w:r>
            <w:r w:rsidRPr="00CF6F7B">
              <w:rPr>
                <w:rFonts w:ascii="Times New Roman" w:hAnsi="Times New Roman"/>
                <w:sz w:val="24"/>
                <w:szCs w:val="24"/>
              </w:rPr>
              <w:t xml:space="preserve">. </w:t>
            </w:r>
            <w:r w:rsidR="00CF7D4E">
              <w:rPr>
                <w:rFonts w:ascii="Times New Roman" w:hAnsi="Times New Roman"/>
                <w:sz w:val="24"/>
                <w:szCs w:val="24"/>
              </w:rPr>
              <w:t>The Fall 2016 p</w:t>
            </w:r>
            <w:r w:rsidRPr="00CF6F7B">
              <w:rPr>
                <w:rFonts w:ascii="Times New Roman" w:hAnsi="Times New Roman"/>
                <w:sz w:val="24"/>
                <w:szCs w:val="24"/>
              </w:rPr>
              <w:t>lans for developing this assessment were shared with the visiting team and posted on AIMS.  Guidelines and rubric ha</w:t>
            </w:r>
            <w:r w:rsidR="00CF7D4E">
              <w:rPr>
                <w:rFonts w:ascii="Times New Roman" w:hAnsi="Times New Roman"/>
                <w:sz w:val="24"/>
                <w:szCs w:val="24"/>
              </w:rPr>
              <w:t>ve</w:t>
            </w:r>
            <w:r w:rsidRPr="00CF6F7B">
              <w:rPr>
                <w:rFonts w:ascii="Times New Roman" w:hAnsi="Times New Roman"/>
                <w:sz w:val="24"/>
                <w:szCs w:val="24"/>
              </w:rPr>
              <w:t xml:space="preserve"> been included in our TK20 and available for review.</w:t>
            </w:r>
          </w:p>
        </w:tc>
      </w:tr>
      <w:tr w:rsidR="00CF7D4E" w:rsidRPr="00CF6F7B" w14:paraId="1B7B1923" w14:textId="77777777" w:rsidTr="00EB0DC2">
        <w:tc>
          <w:tcPr>
            <w:tcW w:w="0" w:type="auto"/>
          </w:tcPr>
          <w:p w14:paraId="59FAA178" w14:textId="5C800A90" w:rsidR="00BB5CC0" w:rsidRPr="00CF6F7B" w:rsidRDefault="00BB5CC0" w:rsidP="00872318">
            <w:pPr>
              <w:spacing w:before="120" w:after="120"/>
              <w:rPr>
                <w:rFonts w:ascii="Times New Roman" w:hAnsi="Times New Roman"/>
                <w:sz w:val="24"/>
                <w:szCs w:val="24"/>
              </w:rPr>
            </w:pPr>
            <w:r w:rsidRPr="00CF6F7B">
              <w:rPr>
                <w:rFonts w:ascii="Times New Roman" w:hAnsi="Times New Roman"/>
                <w:sz w:val="24"/>
                <w:szCs w:val="24"/>
              </w:rPr>
              <w:t>Core III</w:t>
            </w:r>
          </w:p>
        </w:tc>
        <w:tc>
          <w:tcPr>
            <w:tcW w:w="0" w:type="auto"/>
          </w:tcPr>
          <w:p w14:paraId="7F116AC8" w14:textId="68A4C04E" w:rsidR="00BB5CC0" w:rsidRPr="00CF6F7B" w:rsidRDefault="00BB5CC0" w:rsidP="00BB5CC0">
            <w:pPr>
              <w:spacing w:before="120" w:after="120"/>
              <w:rPr>
                <w:rFonts w:ascii="Times New Roman" w:hAnsi="Times New Roman"/>
                <w:sz w:val="24"/>
                <w:szCs w:val="24"/>
              </w:rPr>
            </w:pPr>
            <w:r w:rsidRPr="00CF6F7B">
              <w:rPr>
                <w:rFonts w:ascii="Times New Roman" w:hAnsi="Times New Roman"/>
                <w:sz w:val="24"/>
                <w:szCs w:val="24"/>
              </w:rPr>
              <w:t>All graduate and undergraduate initial teacher candidates in their third semester or term, after admission to program</w:t>
            </w:r>
          </w:p>
        </w:tc>
        <w:tc>
          <w:tcPr>
            <w:tcW w:w="0" w:type="auto"/>
          </w:tcPr>
          <w:p w14:paraId="5A3A73F7" w14:textId="564662D1" w:rsidR="00BB5CC0" w:rsidRPr="00CF6F7B" w:rsidRDefault="00BB5CC0" w:rsidP="00872318">
            <w:pPr>
              <w:spacing w:before="120" w:after="120"/>
              <w:rPr>
                <w:rFonts w:ascii="Times New Roman" w:hAnsi="Times New Roman"/>
                <w:sz w:val="24"/>
                <w:szCs w:val="24"/>
              </w:rPr>
            </w:pPr>
            <w:r w:rsidRPr="00CF6F7B">
              <w:rPr>
                <w:rFonts w:ascii="Times New Roman" w:hAnsi="Times New Roman"/>
                <w:sz w:val="24"/>
                <w:szCs w:val="24"/>
              </w:rPr>
              <w:t>Set of 2 to 3 core courses, as determined by program faculty</w:t>
            </w:r>
          </w:p>
        </w:tc>
        <w:tc>
          <w:tcPr>
            <w:tcW w:w="0" w:type="auto"/>
          </w:tcPr>
          <w:p w14:paraId="0F7FA792" w14:textId="05A31295" w:rsidR="00BB5CC0" w:rsidRPr="00CF6F7B" w:rsidRDefault="00BB5CC0" w:rsidP="00BB5CC0">
            <w:pPr>
              <w:spacing w:before="120" w:after="120"/>
              <w:rPr>
                <w:rFonts w:ascii="Times New Roman" w:hAnsi="Times New Roman"/>
                <w:sz w:val="24"/>
                <w:szCs w:val="24"/>
              </w:rPr>
            </w:pPr>
            <w:r w:rsidRPr="00CF6F7B">
              <w:rPr>
                <w:rFonts w:ascii="Times New Roman" w:hAnsi="Times New Roman"/>
                <w:sz w:val="24"/>
                <w:szCs w:val="24"/>
              </w:rPr>
              <w:t>Clinical III (Practicum or Pre-Student Teaching): 135 clock hours, evaluated by the university supervisor with the Practicum or Pre-Student Teaching evaluation rubric.  Rubric and Data were shared at AIMS, onsite and on our website.</w:t>
            </w:r>
          </w:p>
        </w:tc>
        <w:tc>
          <w:tcPr>
            <w:tcW w:w="0" w:type="auto"/>
          </w:tcPr>
          <w:p w14:paraId="2F4C418A" w14:textId="02AD79D6" w:rsidR="00BB5CC0" w:rsidRPr="00CF6F7B" w:rsidRDefault="00BB5CC0" w:rsidP="00BB5CC0">
            <w:pPr>
              <w:spacing w:before="120" w:after="120"/>
              <w:rPr>
                <w:rFonts w:ascii="Times New Roman" w:hAnsi="Times New Roman"/>
                <w:sz w:val="24"/>
                <w:szCs w:val="24"/>
              </w:rPr>
            </w:pPr>
            <w:r w:rsidRPr="00CF6F7B">
              <w:rPr>
                <w:rFonts w:ascii="Times New Roman" w:hAnsi="Times New Roman"/>
                <w:sz w:val="24"/>
                <w:szCs w:val="24"/>
              </w:rPr>
              <w:t xml:space="preserve">Core III portfolio, is being developed in Spring 2017, and will be implemented in Fall 2017.  Plans for developing this assessment were shared with the visiting team and posted on AIMS.  </w:t>
            </w:r>
          </w:p>
        </w:tc>
      </w:tr>
      <w:tr w:rsidR="00CF7D4E" w:rsidRPr="00CF6F7B" w14:paraId="07A57C6D" w14:textId="77777777" w:rsidTr="00EB0DC2">
        <w:tc>
          <w:tcPr>
            <w:tcW w:w="0" w:type="auto"/>
          </w:tcPr>
          <w:p w14:paraId="57376CE1" w14:textId="72A30DCD" w:rsidR="00BB5CC0" w:rsidRPr="00CF6F7B" w:rsidRDefault="00BB5CC0" w:rsidP="00872318">
            <w:pPr>
              <w:spacing w:before="120" w:after="120"/>
              <w:rPr>
                <w:rFonts w:ascii="Times New Roman" w:hAnsi="Times New Roman"/>
                <w:sz w:val="24"/>
                <w:szCs w:val="24"/>
              </w:rPr>
            </w:pPr>
            <w:r w:rsidRPr="00CF6F7B">
              <w:rPr>
                <w:rFonts w:ascii="Times New Roman" w:hAnsi="Times New Roman"/>
                <w:sz w:val="24"/>
                <w:szCs w:val="24"/>
              </w:rPr>
              <w:t>Core IV</w:t>
            </w:r>
          </w:p>
        </w:tc>
        <w:tc>
          <w:tcPr>
            <w:tcW w:w="0" w:type="auto"/>
          </w:tcPr>
          <w:p w14:paraId="0458DB5E" w14:textId="45F13F1F" w:rsidR="00BB5CC0" w:rsidRPr="00CF6F7B" w:rsidRDefault="00BB5CC0" w:rsidP="00BB5CC0">
            <w:pPr>
              <w:spacing w:before="120" w:after="120"/>
              <w:rPr>
                <w:rFonts w:ascii="Times New Roman" w:hAnsi="Times New Roman"/>
                <w:sz w:val="24"/>
                <w:szCs w:val="24"/>
              </w:rPr>
            </w:pPr>
            <w:r w:rsidRPr="00CF6F7B">
              <w:rPr>
                <w:rFonts w:ascii="Times New Roman" w:hAnsi="Times New Roman"/>
                <w:sz w:val="24"/>
                <w:szCs w:val="24"/>
              </w:rPr>
              <w:t>All graduate and undergraduate initial teacher candidates in their final semester of their program</w:t>
            </w:r>
          </w:p>
        </w:tc>
        <w:tc>
          <w:tcPr>
            <w:tcW w:w="0" w:type="auto"/>
          </w:tcPr>
          <w:p w14:paraId="5FE460A4" w14:textId="1D68F3A3" w:rsidR="00BB5CC0" w:rsidRPr="00CF6F7B" w:rsidRDefault="00BB5CC0" w:rsidP="00872318">
            <w:pPr>
              <w:spacing w:before="120" w:after="120"/>
              <w:rPr>
                <w:rFonts w:ascii="Times New Roman" w:hAnsi="Times New Roman"/>
                <w:sz w:val="24"/>
                <w:szCs w:val="24"/>
              </w:rPr>
            </w:pPr>
            <w:r w:rsidRPr="00CF6F7B">
              <w:rPr>
                <w:rFonts w:ascii="Times New Roman" w:hAnsi="Times New Roman"/>
                <w:sz w:val="24"/>
                <w:szCs w:val="24"/>
              </w:rPr>
              <w:t>1 course either designed as a student teaching seminar (elementary, secondary and physical education) or as an assessment course with focus on differentiation (early childhood education)</w:t>
            </w:r>
          </w:p>
        </w:tc>
        <w:tc>
          <w:tcPr>
            <w:tcW w:w="0" w:type="auto"/>
          </w:tcPr>
          <w:p w14:paraId="575C55F5" w14:textId="10995CAC" w:rsidR="00BB5CC0" w:rsidRPr="00CF6F7B" w:rsidRDefault="00BB5CC0" w:rsidP="00304EB0">
            <w:pPr>
              <w:spacing w:before="120" w:after="120"/>
              <w:rPr>
                <w:rFonts w:ascii="Times New Roman" w:hAnsi="Times New Roman"/>
                <w:sz w:val="24"/>
                <w:szCs w:val="24"/>
              </w:rPr>
            </w:pPr>
            <w:r w:rsidRPr="00CF6F7B">
              <w:rPr>
                <w:rFonts w:ascii="Times New Roman" w:hAnsi="Times New Roman"/>
                <w:sz w:val="24"/>
                <w:szCs w:val="24"/>
              </w:rPr>
              <w:t>Clinical IV (Student Teaching): One full semester</w:t>
            </w:r>
            <w:r w:rsidR="00304EB0">
              <w:rPr>
                <w:rFonts w:ascii="Times New Roman" w:hAnsi="Times New Roman"/>
                <w:sz w:val="24"/>
                <w:szCs w:val="24"/>
              </w:rPr>
              <w:t xml:space="preserve"> (minimum 10 weeks)</w:t>
            </w:r>
            <w:r w:rsidRPr="00CF6F7B">
              <w:rPr>
                <w:rFonts w:ascii="Times New Roman" w:hAnsi="Times New Roman"/>
                <w:sz w:val="24"/>
                <w:szCs w:val="24"/>
              </w:rPr>
              <w:t>, evaluated by the university supervisor with the Student Teaching evaluation rubric.  Rubric and Data were shared at AIMS, onsite and on our website.</w:t>
            </w:r>
          </w:p>
        </w:tc>
        <w:tc>
          <w:tcPr>
            <w:tcW w:w="0" w:type="auto"/>
          </w:tcPr>
          <w:p w14:paraId="3DAF7615" w14:textId="5DFC1229" w:rsidR="00BB5CC0" w:rsidRPr="00CF6F7B" w:rsidRDefault="00CF7D4E" w:rsidP="00BB5CC0">
            <w:pPr>
              <w:spacing w:before="120" w:after="120"/>
              <w:rPr>
                <w:rFonts w:ascii="Times New Roman" w:hAnsi="Times New Roman"/>
                <w:sz w:val="24"/>
                <w:szCs w:val="24"/>
              </w:rPr>
            </w:pPr>
            <w:r>
              <w:rPr>
                <w:rFonts w:ascii="Times New Roman" w:hAnsi="Times New Roman"/>
                <w:sz w:val="24"/>
                <w:szCs w:val="24"/>
              </w:rPr>
              <w:t xml:space="preserve">Core IV portfolio will include </w:t>
            </w:r>
            <w:r w:rsidR="00BB5CC0" w:rsidRPr="00CF6F7B">
              <w:rPr>
                <w:rFonts w:ascii="Times New Roman" w:hAnsi="Times New Roman"/>
                <w:sz w:val="24"/>
                <w:szCs w:val="24"/>
              </w:rPr>
              <w:t>edTPA</w:t>
            </w:r>
            <w:r>
              <w:rPr>
                <w:rFonts w:ascii="Times New Roman" w:hAnsi="Times New Roman"/>
                <w:sz w:val="24"/>
                <w:szCs w:val="24"/>
              </w:rPr>
              <w:t>,</w:t>
            </w:r>
            <w:r w:rsidR="00B96BF1" w:rsidRPr="00CF6F7B">
              <w:rPr>
                <w:rFonts w:ascii="Times New Roman" w:hAnsi="Times New Roman"/>
                <w:sz w:val="24"/>
                <w:szCs w:val="24"/>
              </w:rPr>
              <w:t xml:space="preserve"> in pilot since Spring 2016</w:t>
            </w:r>
            <w:r w:rsidR="008E4EA7">
              <w:rPr>
                <w:rFonts w:ascii="Times New Roman" w:hAnsi="Times New Roman"/>
                <w:sz w:val="24"/>
                <w:szCs w:val="24"/>
              </w:rPr>
              <w:t>, with national scoring</w:t>
            </w:r>
            <w:r w:rsidR="00B96BF1" w:rsidRPr="00CF6F7B">
              <w:rPr>
                <w:rFonts w:ascii="Times New Roman" w:hAnsi="Times New Roman"/>
                <w:sz w:val="24"/>
                <w:szCs w:val="24"/>
              </w:rPr>
              <w:t>.</w:t>
            </w:r>
          </w:p>
          <w:p w14:paraId="0C5A84CE" w14:textId="0DFDD45A" w:rsidR="00B96BF1" w:rsidRPr="00CF6F7B" w:rsidRDefault="00B96BF1" w:rsidP="008E4EA7">
            <w:pPr>
              <w:spacing w:before="120" w:after="120"/>
              <w:rPr>
                <w:rFonts w:ascii="Times New Roman" w:hAnsi="Times New Roman"/>
                <w:sz w:val="24"/>
                <w:szCs w:val="24"/>
              </w:rPr>
            </w:pPr>
            <w:r w:rsidRPr="00CF6F7B">
              <w:rPr>
                <w:rFonts w:ascii="Times New Roman" w:hAnsi="Times New Roman"/>
                <w:sz w:val="24"/>
                <w:szCs w:val="24"/>
              </w:rPr>
              <w:t xml:space="preserve">Student teaching portfolio or impact on student learning assessments </w:t>
            </w:r>
            <w:r w:rsidR="00CF7D4E">
              <w:rPr>
                <w:rFonts w:ascii="Times New Roman" w:hAnsi="Times New Roman"/>
                <w:sz w:val="24"/>
                <w:szCs w:val="24"/>
              </w:rPr>
              <w:t xml:space="preserve">will </w:t>
            </w:r>
            <w:r w:rsidRPr="00CF6F7B">
              <w:rPr>
                <w:rFonts w:ascii="Times New Roman" w:hAnsi="Times New Roman"/>
                <w:sz w:val="24"/>
                <w:szCs w:val="24"/>
              </w:rPr>
              <w:t xml:space="preserve">continue to be conducted until edTPA becomes fully </w:t>
            </w:r>
            <w:r w:rsidR="008E4EA7">
              <w:rPr>
                <w:rFonts w:ascii="Times New Roman" w:hAnsi="Times New Roman"/>
                <w:sz w:val="24"/>
                <w:szCs w:val="24"/>
              </w:rPr>
              <w:t>implemented across programs by 2019</w:t>
            </w:r>
            <w:r w:rsidRPr="00CF6F7B">
              <w:rPr>
                <w:rFonts w:ascii="Times New Roman" w:hAnsi="Times New Roman"/>
                <w:sz w:val="24"/>
                <w:szCs w:val="24"/>
              </w:rPr>
              <w:t xml:space="preserve">.  Data from these </w:t>
            </w:r>
            <w:r w:rsidR="002E23E7">
              <w:rPr>
                <w:rFonts w:ascii="Times New Roman" w:hAnsi="Times New Roman"/>
                <w:sz w:val="24"/>
                <w:szCs w:val="24"/>
              </w:rPr>
              <w:t xml:space="preserve">ongoing </w:t>
            </w:r>
            <w:r w:rsidRPr="00CF6F7B">
              <w:rPr>
                <w:rFonts w:ascii="Times New Roman" w:hAnsi="Times New Roman"/>
                <w:sz w:val="24"/>
                <w:szCs w:val="24"/>
              </w:rPr>
              <w:t>assessments were shared at AIMS, onsite and on our website.</w:t>
            </w:r>
          </w:p>
        </w:tc>
      </w:tr>
    </w:tbl>
    <w:p w14:paraId="798CAAB4" w14:textId="77777777" w:rsidR="00771574" w:rsidRPr="00CF6F7B" w:rsidRDefault="00771574" w:rsidP="005B5579">
      <w:pPr>
        <w:jc w:val="center"/>
        <w:rPr>
          <w:b/>
          <w:sz w:val="24"/>
          <w:szCs w:val="24"/>
        </w:rPr>
      </w:pPr>
    </w:p>
    <w:p w14:paraId="494C93E3" w14:textId="7D272C52" w:rsidR="006472BA" w:rsidRDefault="00F03191">
      <w:pPr>
        <w:rPr>
          <w:sz w:val="24"/>
          <w:szCs w:val="24"/>
          <w:u w:val="single"/>
        </w:rPr>
        <w:sectPr w:rsidR="006472BA" w:rsidSect="006472BA">
          <w:pgSz w:w="15840" w:h="12240" w:orient="landscape"/>
          <w:pgMar w:top="1440" w:right="1440" w:bottom="1440" w:left="1440" w:header="720" w:footer="720" w:gutter="0"/>
          <w:cols w:space="720"/>
          <w:titlePg/>
        </w:sectPr>
      </w:pPr>
      <w:r>
        <w:rPr>
          <w:sz w:val="24"/>
          <w:szCs w:val="24"/>
          <w:u w:val="single"/>
        </w:rPr>
        <w:br w:type="page"/>
      </w:r>
    </w:p>
    <w:p w14:paraId="589B7C77" w14:textId="77777777" w:rsidR="006472BA" w:rsidRPr="00CF6F7B" w:rsidRDefault="006472BA" w:rsidP="006472BA">
      <w:pPr>
        <w:jc w:val="center"/>
        <w:rPr>
          <w:b/>
          <w:sz w:val="24"/>
          <w:szCs w:val="24"/>
        </w:rPr>
      </w:pPr>
      <w:r w:rsidRPr="00CF6F7B">
        <w:rPr>
          <w:b/>
          <w:sz w:val="24"/>
          <w:szCs w:val="24"/>
        </w:rPr>
        <w:t>Standard 4</w:t>
      </w:r>
    </w:p>
    <w:p w14:paraId="6002BC44" w14:textId="6684F638" w:rsidR="006472BA" w:rsidRPr="00CF6F7B" w:rsidRDefault="006472BA" w:rsidP="006472BA">
      <w:pPr>
        <w:pStyle w:val="Heading2"/>
        <w:spacing w:before="120" w:after="120"/>
        <w:ind w:firstLine="720"/>
        <w:rPr>
          <w:b w:val="0"/>
          <w:sz w:val="24"/>
          <w:szCs w:val="24"/>
        </w:rPr>
      </w:pPr>
      <w:r w:rsidRPr="00CF6F7B">
        <w:rPr>
          <w:b w:val="0"/>
          <w:sz w:val="24"/>
          <w:szCs w:val="24"/>
        </w:rPr>
        <w:t xml:space="preserve">The BOE report recommends that this standard </w:t>
      </w:r>
      <w:r w:rsidR="00EE43F7">
        <w:rPr>
          <w:b w:val="0"/>
          <w:sz w:val="24"/>
          <w:szCs w:val="24"/>
        </w:rPr>
        <w:t>is</w:t>
      </w:r>
      <w:r w:rsidR="00EE43F7" w:rsidRPr="00CF6F7B">
        <w:rPr>
          <w:b w:val="0"/>
          <w:sz w:val="24"/>
          <w:szCs w:val="24"/>
        </w:rPr>
        <w:t xml:space="preserve"> </w:t>
      </w:r>
      <w:r w:rsidRPr="00CF6F7B">
        <w:rPr>
          <w:b w:val="0"/>
          <w:sz w:val="24"/>
          <w:szCs w:val="24"/>
        </w:rPr>
        <w:t>MET, with all previous AFIs removed. The report outlines our varied and successful efforts to deepen curriculum, including the embedded course projects that broaden our candidates’ experience with diverse peers and students.  We have infused evaluation of our candidates’ professional dispositions related to diversity within our key assessments, such as the student teaching instrument. Data from these evaluations are analyzed during the annual retreats to assess and to plan for continuous program improvements. These efforts are ongoing and the unit has continued to work on these goals post-accreditation visit.</w:t>
      </w:r>
    </w:p>
    <w:p w14:paraId="63FD7124" w14:textId="77777777" w:rsidR="006472BA" w:rsidRPr="00CF6F7B" w:rsidRDefault="006472BA" w:rsidP="006472BA">
      <w:pPr>
        <w:jc w:val="center"/>
        <w:rPr>
          <w:b/>
          <w:sz w:val="24"/>
          <w:szCs w:val="24"/>
        </w:rPr>
      </w:pPr>
      <w:r w:rsidRPr="00CF6F7B">
        <w:rPr>
          <w:b/>
          <w:sz w:val="24"/>
          <w:szCs w:val="24"/>
        </w:rPr>
        <w:t>Standard 5</w:t>
      </w:r>
    </w:p>
    <w:p w14:paraId="0CEA5643" w14:textId="15E6A3FA" w:rsidR="006472BA" w:rsidRPr="00CF6F7B" w:rsidRDefault="006472BA" w:rsidP="006472BA">
      <w:pPr>
        <w:pStyle w:val="Heading2"/>
        <w:spacing w:before="120" w:after="120"/>
        <w:ind w:firstLine="720"/>
        <w:rPr>
          <w:b w:val="0"/>
          <w:sz w:val="24"/>
          <w:szCs w:val="24"/>
        </w:rPr>
      </w:pPr>
      <w:r w:rsidRPr="00CF6F7B">
        <w:rPr>
          <w:b w:val="0"/>
          <w:sz w:val="24"/>
          <w:szCs w:val="24"/>
        </w:rPr>
        <w:t xml:space="preserve">The BOE report recommends that this standard </w:t>
      </w:r>
      <w:r w:rsidR="00950ADE">
        <w:rPr>
          <w:b w:val="0"/>
          <w:sz w:val="24"/>
          <w:szCs w:val="24"/>
        </w:rPr>
        <w:t>remain</w:t>
      </w:r>
      <w:r w:rsidR="00304EB0">
        <w:rPr>
          <w:b w:val="0"/>
          <w:sz w:val="24"/>
          <w:szCs w:val="24"/>
        </w:rPr>
        <w:t>s</w:t>
      </w:r>
      <w:r w:rsidRPr="00CF6F7B">
        <w:rPr>
          <w:b w:val="0"/>
          <w:sz w:val="24"/>
          <w:szCs w:val="24"/>
        </w:rPr>
        <w:t xml:space="preserve"> MET. The report outlines the extensive professional experience of our faculty and staff, within all areas of teaching, clinical supervision, research and service to the field. Part-time faculty are equally qualified and hold certifications within the areas of their courses and supervision. Professional development for all faculty is ongoing and supported by university resources to maintain currency in the field. Our faculty are immersed in their field and have produced an </w:t>
      </w:r>
      <w:r w:rsidR="00EE43F7">
        <w:rPr>
          <w:b w:val="0"/>
          <w:sz w:val="24"/>
          <w:szCs w:val="24"/>
        </w:rPr>
        <w:t>impressive</w:t>
      </w:r>
      <w:r w:rsidR="00EE43F7" w:rsidRPr="00CF6F7B">
        <w:rPr>
          <w:b w:val="0"/>
          <w:sz w:val="24"/>
          <w:szCs w:val="24"/>
        </w:rPr>
        <w:t xml:space="preserve"> </w:t>
      </w:r>
      <w:r w:rsidRPr="00CF6F7B">
        <w:rPr>
          <w:b w:val="0"/>
          <w:sz w:val="24"/>
          <w:szCs w:val="24"/>
        </w:rPr>
        <w:t>number of publications and presentations, making a name for Eastern at the international arena.</w:t>
      </w:r>
    </w:p>
    <w:p w14:paraId="14FBF633" w14:textId="77777777" w:rsidR="006472BA" w:rsidRPr="00CF6F7B" w:rsidRDefault="006472BA" w:rsidP="006472BA">
      <w:pPr>
        <w:jc w:val="center"/>
        <w:rPr>
          <w:b/>
          <w:sz w:val="24"/>
          <w:szCs w:val="24"/>
        </w:rPr>
      </w:pPr>
      <w:r w:rsidRPr="00CF6F7B">
        <w:rPr>
          <w:b/>
          <w:sz w:val="24"/>
          <w:szCs w:val="24"/>
        </w:rPr>
        <w:t>Standard 6</w:t>
      </w:r>
    </w:p>
    <w:p w14:paraId="2120BC4D" w14:textId="455FB4E0" w:rsidR="00EF6C2E" w:rsidRDefault="006472BA" w:rsidP="006472BA">
      <w:pPr>
        <w:pStyle w:val="Heading2"/>
        <w:spacing w:before="120" w:after="120"/>
        <w:ind w:firstLine="720"/>
        <w:rPr>
          <w:rFonts w:eastAsia="Calibri"/>
          <w:sz w:val="24"/>
          <w:szCs w:val="24"/>
        </w:rPr>
      </w:pPr>
      <w:r w:rsidRPr="00CF6F7B">
        <w:rPr>
          <w:b w:val="0"/>
          <w:sz w:val="24"/>
          <w:szCs w:val="24"/>
        </w:rPr>
        <w:t xml:space="preserve">The BOE report recommends that this standard </w:t>
      </w:r>
      <w:r w:rsidR="00EE43F7">
        <w:rPr>
          <w:b w:val="0"/>
          <w:sz w:val="24"/>
          <w:szCs w:val="24"/>
        </w:rPr>
        <w:t>is</w:t>
      </w:r>
      <w:r w:rsidR="00950ADE" w:rsidRPr="00CF6F7B">
        <w:rPr>
          <w:b w:val="0"/>
          <w:sz w:val="24"/>
          <w:szCs w:val="24"/>
        </w:rPr>
        <w:t xml:space="preserve"> </w:t>
      </w:r>
      <w:r w:rsidRPr="00CF6F7B">
        <w:rPr>
          <w:b w:val="0"/>
          <w:sz w:val="24"/>
          <w:szCs w:val="24"/>
        </w:rPr>
        <w:t xml:space="preserve">MET, with all previous AFIs removed.  As stated in the report, the Dean of the School of Education and Professional Studies </w:t>
      </w:r>
      <w:r w:rsidR="00A344A2">
        <w:rPr>
          <w:b w:val="0"/>
          <w:sz w:val="24"/>
          <w:szCs w:val="24"/>
        </w:rPr>
        <w:t>is the head of the</w:t>
      </w:r>
      <w:r w:rsidRPr="00CF6F7B">
        <w:rPr>
          <w:b w:val="0"/>
          <w:sz w:val="24"/>
          <w:szCs w:val="24"/>
        </w:rPr>
        <w:t xml:space="preserve"> unit, including the two departments of Education and Kinesiology and Physical Education. Since his arrival on campus, the unit has deepened its clinical experiences and unit-wide assessments and maintained ongoing and continuous progress in developing clinical partnerships and collaborations</w:t>
      </w:r>
      <w:r w:rsidR="00950ADE">
        <w:rPr>
          <w:b w:val="0"/>
          <w:sz w:val="24"/>
          <w:szCs w:val="24"/>
        </w:rPr>
        <w:t>, including a new partnership with a nationally recognized institution among Historically Black Colleges and Universities (HBCUs) that continues in development since the site visit (</w:t>
      </w:r>
      <w:r w:rsidR="007F2253" w:rsidRPr="007F2253">
        <w:rPr>
          <w:b w:val="0"/>
          <w:sz w:val="24"/>
          <w:szCs w:val="24"/>
        </w:rPr>
        <w:t xml:space="preserve">see Letter of Intent and Cultural Competence and Leadership exhibits outlining the Initiative with Spelman </w:t>
      </w:r>
      <w:r w:rsidR="00404561" w:rsidRPr="007F2253">
        <w:rPr>
          <w:b w:val="0"/>
          <w:sz w:val="24"/>
          <w:szCs w:val="24"/>
        </w:rPr>
        <w:t>College</w:t>
      </w:r>
      <w:r w:rsidR="007F2253" w:rsidRPr="007F2253">
        <w:rPr>
          <w:b w:val="0"/>
          <w:sz w:val="24"/>
          <w:szCs w:val="24"/>
        </w:rPr>
        <w:t xml:space="preserve"> in Onsite evidence under Standard 4</w:t>
      </w:r>
      <w:r w:rsidR="00950ADE" w:rsidRPr="007F2253">
        <w:rPr>
          <w:b w:val="0"/>
          <w:sz w:val="24"/>
          <w:szCs w:val="24"/>
        </w:rPr>
        <w:t>)</w:t>
      </w:r>
      <w:r w:rsidRPr="007F2253">
        <w:rPr>
          <w:b w:val="0"/>
          <w:sz w:val="24"/>
          <w:szCs w:val="24"/>
        </w:rPr>
        <w:t>.</w:t>
      </w:r>
      <w:r w:rsidRPr="00CF6F7B">
        <w:rPr>
          <w:rFonts w:eastAsia="Calibri"/>
          <w:sz w:val="24"/>
          <w:szCs w:val="24"/>
        </w:rPr>
        <w:t xml:space="preserve"> </w:t>
      </w:r>
    </w:p>
    <w:p w14:paraId="03AAC314" w14:textId="77777777" w:rsidR="00EF6C2E" w:rsidRDefault="00EF6C2E">
      <w:pPr>
        <w:rPr>
          <w:rFonts w:eastAsia="Calibri"/>
          <w:b/>
          <w:bCs/>
          <w:sz w:val="24"/>
          <w:szCs w:val="24"/>
        </w:rPr>
      </w:pPr>
      <w:r>
        <w:rPr>
          <w:rFonts w:eastAsia="Calibri"/>
          <w:sz w:val="24"/>
          <w:szCs w:val="24"/>
        </w:rPr>
        <w:br w:type="page"/>
      </w:r>
    </w:p>
    <w:p w14:paraId="2E9C8323" w14:textId="3057ABC7" w:rsidR="006472BA" w:rsidRPr="00EF6C2E" w:rsidRDefault="00EF6C2E" w:rsidP="00EF6C2E">
      <w:pPr>
        <w:jc w:val="center"/>
        <w:rPr>
          <w:rFonts w:eastAsia="Calibri"/>
          <w:b/>
          <w:sz w:val="24"/>
          <w:szCs w:val="24"/>
        </w:rPr>
      </w:pPr>
      <w:r w:rsidRPr="00EF6C2E">
        <w:rPr>
          <w:rFonts w:eastAsia="Calibri"/>
          <w:b/>
          <w:sz w:val="24"/>
          <w:szCs w:val="24"/>
        </w:rPr>
        <w:t>Appendix A</w:t>
      </w:r>
    </w:p>
    <w:p w14:paraId="6FAA5103" w14:textId="77777777" w:rsidR="00EF6C2E" w:rsidRPr="00497186" w:rsidRDefault="00EF6C2E" w:rsidP="00EF6C2E">
      <w:pPr>
        <w:widowControl w:val="0"/>
        <w:tabs>
          <w:tab w:val="center" w:pos="2059"/>
        </w:tabs>
        <w:autoSpaceDE w:val="0"/>
        <w:autoSpaceDN w:val="0"/>
        <w:adjustRightInd w:val="0"/>
        <w:jc w:val="center"/>
        <w:rPr>
          <w:b/>
          <w:bCs/>
          <w:color w:val="000000"/>
          <w:sz w:val="24"/>
          <w:szCs w:val="24"/>
        </w:rPr>
      </w:pPr>
      <w:r>
        <w:rPr>
          <w:b/>
          <w:bCs/>
          <w:color w:val="000000"/>
          <w:sz w:val="24"/>
          <w:szCs w:val="24"/>
        </w:rPr>
        <w:t>edTPA Pilot Study (Spring 2016</w:t>
      </w:r>
      <w:r w:rsidRPr="00497186">
        <w:rPr>
          <w:b/>
          <w:bCs/>
          <w:color w:val="000000"/>
          <w:sz w:val="24"/>
          <w:szCs w:val="24"/>
        </w:rPr>
        <w:t>)</w:t>
      </w:r>
    </w:p>
    <w:p w14:paraId="73F2D56D" w14:textId="77777777" w:rsidR="00EF6C2E" w:rsidRDefault="00EF6C2E" w:rsidP="00EF6C2E">
      <w:pPr>
        <w:widowControl w:val="0"/>
        <w:tabs>
          <w:tab w:val="center" w:pos="2059"/>
        </w:tabs>
        <w:autoSpaceDE w:val="0"/>
        <w:autoSpaceDN w:val="0"/>
        <w:adjustRightInd w:val="0"/>
        <w:rPr>
          <w:bCs/>
          <w:color w:val="000000"/>
          <w:sz w:val="24"/>
          <w:szCs w:val="24"/>
        </w:rPr>
      </w:pPr>
    </w:p>
    <w:p w14:paraId="45F2A1D2" w14:textId="77777777" w:rsidR="00EF6C2E" w:rsidRDefault="00EF6C2E" w:rsidP="00EF6C2E">
      <w:pPr>
        <w:widowControl w:val="0"/>
        <w:tabs>
          <w:tab w:val="center" w:pos="2059"/>
        </w:tabs>
        <w:autoSpaceDE w:val="0"/>
        <w:autoSpaceDN w:val="0"/>
        <w:adjustRightInd w:val="0"/>
        <w:rPr>
          <w:bCs/>
          <w:color w:val="000000"/>
          <w:sz w:val="24"/>
          <w:szCs w:val="24"/>
        </w:rPr>
      </w:pPr>
      <w:r>
        <w:rPr>
          <w:bCs/>
          <w:color w:val="000000"/>
          <w:sz w:val="24"/>
          <w:szCs w:val="24"/>
        </w:rPr>
        <w:t xml:space="preserve">Descriptive statistics were conducted for each of the 15 Rubrics of the edTPA Pilot Study.  Candidates from Elementary, Secondary, and Physical Education participated. There were 50 candidates who participated in the study.  Only 39 of those candidates were able to register and only 18 of those registered were able to submit their portfolio and have it scored (36%). The mean of each item was provided in the table below. Though the aim of the pilot was to examine the assessment from an implementation vantage point, the data revealed that candidate are proficient in three areas: (1) Planning to Support Varied Student Learning Needs, (2) Learning Environment, and (3) Providing Feedback to Guide Further Learning. Candidates were approaching proficiency in many areas, but struggled within a cluster of elements related to assessment, with a mean of 2.5 or lower. Namely, these are: (4) Analyzing Teaching Effectiveness, (5) Student Understanding and Use of Feedback, (6) Student Understanding and Use of Feedback, (6) Analyzing Students’ Language Use and Literacy Learning, and (7) Using Assessment to Inform Instruction. As a pilot, these results are advisory. </w:t>
      </w:r>
    </w:p>
    <w:p w14:paraId="0836CC6F" w14:textId="77777777" w:rsidR="00EF6C2E" w:rsidRPr="00053EDD" w:rsidRDefault="00EF6C2E" w:rsidP="00EF6C2E">
      <w:pPr>
        <w:widowControl w:val="0"/>
        <w:tabs>
          <w:tab w:val="center" w:pos="2059"/>
        </w:tabs>
        <w:autoSpaceDE w:val="0"/>
        <w:autoSpaceDN w:val="0"/>
        <w:adjustRightInd w:val="0"/>
        <w:rPr>
          <w:bCs/>
          <w:color w:val="000000"/>
          <w:sz w:val="24"/>
          <w:szCs w:val="24"/>
        </w:rPr>
      </w:pPr>
    </w:p>
    <w:p w14:paraId="394D7B51" w14:textId="77777777" w:rsidR="00EF6C2E" w:rsidRPr="00053EDD" w:rsidRDefault="00EF6C2E" w:rsidP="00EF6C2E">
      <w:pPr>
        <w:widowControl w:val="0"/>
        <w:tabs>
          <w:tab w:val="center" w:pos="2059"/>
        </w:tabs>
        <w:autoSpaceDE w:val="0"/>
        <w:autoSpaceDN w:val="0"/>
        <w:adjustRightInd w:val="0"/>
        <w:rPr>
          <w:bCs/>
          <w:color w:val="000000"/>
          <w:sz w:val="24"/>
          <w:szCs w:val="24"/>
        </w:rPr>
      </w:pPr>
    </w:p>
    <w:p w14:paraId="6C80A6B8" w14:textId="77777777" w:rsidR="00EF6C2E" w:rsidRPr="00053EDD" w:rsidRDefault="00EF6C2E" w:rsidP="00EF6C2E">
      <w:pPr>
        <w:widowControl w:val="0"/>
        <w:tabs>
          <w:tab w:val="center" w:pos="2059"/>
        </w:tabs>
        <w:autoSpaceDE w:val="0"/>
        <w:autoSpaceDN w:val="0"/>
        <w:adjustRightInd w:val="0"/>
        <w:rPr>
          <w:bCs/>
          <w:color w:val="000000"/>
          <w:sz w:val="24"/>
          <w:szCs w:val="24"/>
        </w:rPr>
      </w:pPr>
      <w:r w:rsidRPr="00053EDD">
        <w:rPr>
          <w:bCs/>
          <w:color w:val="000000"/>
          <w:sz w:val="24"/>
          <w:szCs w:val="24"/>
        </w:rPr>
        <w:t>All competencies are scored on a five-point scale, ranging from “Emerging Performance” to “Advanced Performance.”</w:t>
      </w:r>
    </w:p>
    <w:p w14:paraId="1E88C7F3" w14:textId="77777777" w:rsidR="00EF6C2E" w:rsidRPr="00053EDD" w:rsidRDefault="00EF6C2E" w:rsidP="00EF6C2E">
      <w:pPr>
        <w:widowControl w:val="0"/>
        <w:tabs>
          <w:tab w:val="center" w:pos="2059"/>
        </w:tabs>
        <w:autoSpaceDE w:val="0"/>
        <w:autoSpaceDN w:val="0"/>
        <w:adjustRightInd w:val="0"/>
        <w:rPr>
          <w:bCs/>
          <w:color w:val="000000"/>
          <w:sz w:val="24"/>
          <w:szCs w:val="24"/>
        </w:rPr>
      </w:pPr>
    </w:p>
    <w:p w14:paraId="006B665C" w14:textId="77777777" w:rsidR="00EF6C2E" w:rsidRPr="00053EDD" w:rsidRDefault="00EF6C2E" w:rsidP="00EF6C2E">
      <w:pPr>
        <w:widowControl w:val="0"/>
        <w:tabs>
          <w:tab w:val="center" w:pos="2059"/>
        </w:tabs>
        <w:autoSpaceDE w:val="0"/>
        <w:autoSpaceDN w:val="0"/>
        <w:adjustRightInd w:val="0"/>
        <w:rPr>
          <w:sz w:val="24"/>
          <w:szCs w:val="24"/>
        </w:rPr>
      </w:pPr>
      <w:r w:rsidRPr="00053EDD">
        <w:rPr>
          <w:sz w:val="24"/>
          <w:szCs w:val="24"/>
        </w:rPr>
        <w:t>EMERGING PERFORMANCE (1 or 2):  PROFICIENT PERFORMANCE (3): ADVANCED PERFORMANCE (4 or 5)</w:t>
      </w:r>
    </w:p>
    <w:tbl>
      <w:tblPr>
        <w:tblStyle w:val="TableGrid"/>
        <w:tblW w:w="0" w:type="auto"/>
        <w:tblInd w:w="-5" w:type="dxa"/>
        <w:tblLayout w:type="fixed"/>
        <w:tblLook w:val="0000" w:firstRow="0" w:lastRow="0" w:firstColumn="0" w:lastColumn="0" w:noHBand="0" w:noVBand="0"/>
      </w:tblPr>
      <w:tblGrid>
        <w:gridCol w:w="7205"/>
        <w:gridCol w:w="630"/>
        <w:gridCol w:w="895"/>
      </w:tblGrid>
      <w:tr w:rsidR="00EF6C2E" w:rsidRPr="002A50B7" w14:paraId="6D68CB9A" w14:textId="77777777" w:rsidTr="009B17A7">
        <w:trPr>
          <w:trHeight w:val="503"/>
        </w:trPr>
        <w:tc>
          <w:tcPr>
            <w:tcW w:w="7205" w:type="dxa"/>
          </w:tcPr>
          <w:p w14:paraId="334289ED" w14:textId="77777777" w:rsidR="00EF6C2E" w:rsidRPr="002A50B7" w:rsidRDefault="00EF6C2E" w:rsidP="009B17A7">
            <w:pPr>
              <w:pStyle w:val="Heading2wide"/>
              <w:spacing w:before="0" w:after="120"/>
              <w:ind w:right="144"/>
              <w:rPr>
                <w:rFonts w:ascii="Times New Roman" w:hAnsi="Times New Roman" w:cs="Times New Roman"/>
                <w:color w:val="auto"/>
                <w:sz w:val="24"/>
              </w:rPr>
            </w:pPr>
          </w:p>
        </w:tc>
        <w:tc>
          <w:tcPr>
            <w:tcW w:w="630" w:type="dxa"/>
          </w:tcPr>
          <w:p w14:paraId="1AB20CE9" w14:textId="77777777" w:rsidR="00EF6C2E" w:rsidRPr="002A50B7" w:rsidRDefault="00EF6C2E" w:rsidP="009B17A7">
            <w:pPr>
              <w:widowControl w:val="0"/>
              <w:autoSpaceDE w:val="0"/>
              <w:autoSpaceDN w:val="0"/>
              <w:adjustRightInd w:val="0"/>
              <w:jc w:val="right"/>
              <w:rPr>
                <w:rFonts w:ascii="Times New Roman" w:hAnsi="Times New Roman"/>
                <w:sz w:val="24"/>
              </w:rPr>
            </w:pPr>
            <w:r w:rsidRPr="002A50B7">
              <w:rPr>
                <w:rFonts w:ascii="Times New Roman" w:hAnsi="Times New Roman"/>
                <w:sz w:val="24"/>
              </w:rPr>
              <w:t>N</w:t>
            </w:r>
          </w:p>
        </w:tc>
        <w:tc>
          <w:tcPr>
            <w:tcW w:w="895" w:type="dxa"/>
          </w:tcPr>
          <w:p w14:paraId="3BA61462" w14:textId="77777777" w:rsidR="00EF6C2E" w:rsidRPr="002A50B7" w:rsidRDefault="00EF6C2E" w:rsidP="009B17A7">
            <w:pPr>
              <w:widowControl w:val="0"/>
              <w:autoSpaceDE w:val="0"/>
              <w:autoSpaceDN w:val="0"/>
              <w:adjustRightInd w:val="0"/>
              <w:jc w:val="right"/>
              <w:rPr>
                <w:rFonts w:ascii="Times New Roman" w:hAnsi="Times New Roman"/>
                <w:sz w:val="24"/>
              </w:rPr>
            </w:pPr>
            <w:r w:rsidRPr="002A50B7">
              <w:rPr>
                <w:rFonts w:ascii="Times New Roman" w:hAnsi="Times New Roman"/>
                <w:sz w:val="24"/>
              </w:rPr>
              <w:t>Mean</w:t>
            </w:r>
          </w:p>
        </w:tc>
      </w:tr>
      <w:tr w:rsidR="00EF6C2E" w:rsidRPr="002A50B7" w14:paraId="07962719" w14:textId="77777777" w:rsidTr="009B17A7">
        <w:trPr>
          <w:trHeight w:val="503"/>
        </w:trPr>
        <w:tc>
          <w:tcPr>
            <w:tcW w:w="7205" w:type="dxa"/>
          </w:tcPr>
          <w:p w14:paraId="6857CCED" w14:textId="77777777" w:rsidR="00EF6C2E" w:rsidRPr="002A50B7" w:rsidRDefault="00EF6C2E" w:rsidP="009B17A7">
            <w:pPr>
              <w:pStyle w:val="Heading2wide"/>
              <w:spacing w:before="0" w:after="120"/>
              <w:ind w:right="144"/>
              <w:rPr>
                <w:rFonts w:ascii="Times New Roman" w:hAnsi="Times New Roman" w:cs="Times New Roman"/>
                <w:color w:val="auto"/>
                <w:sz w:val="24"/>
              </w:rPr>
            </w:pPr>
            <w:bookmarkStart w:id="3" w:name="_Toc333501513"/>
            <w:r w:rsidRPr="002A50B7">
              <w:rPr>
                <w:rFonts w:ascii="Times New Roman" w:hAnsi="Times New Roman" w:cs="Times New Roman"/>
                <w:color w:val="auto"/>
                <w:sz w:val="24"/>
              </w:rPr>
              <w:t>Planning Rubrics</w:t>
            </w:r>
            <w:bookmarkStart w:id="4" w:name="Rub1"/>
            <w:bookmarkEnd w:id="3"/>
            <w:r w:rsidRPr="002A50B7">
              <w:rPr>
                <w:rFonts w:ascii="Times New Roman" w:hAnsi="Times New Roman" w:cs="Times New Roman"/>
                <w:color w:val="auto"/>
                <w:sz w:val="24"/>
              </w:rPr>
              <w:t xml:space="preserve"> – </w:t>
            </w:r>
            <w:bookmarkEnd w:id="4"/>
            <w:r w:rsidRPr="002A50B7">
              <w:rPr>
                <w:rFonts w:ascii="Times New Roman" w:hAnsi="Times New Roman" w:cs="Times New Roman"/>
                <w:color w:val="auto"/>
                <w:sz w:val="24"/>
              </w:rPr>
              <w:t>Rubric 1: Planning for Learning</w:t>
            </w:r>
          </w:p>
          <w:p w14:paraId="0B5D9537" w14:textId="77777777" w:rsidR="00EF6C2E" w:rsidRPr="002A50B7" w:rsidRDefault="00EF6C2E" w:rsidP="009B17A7">
            <w:pPr>
              <w:pStyle w:val="Heading2wide"/>
              <w:spacing w:before="0" w:after="120"/>
              <w:ind w:right="144"/>
              <w:rPr>
                <w:rFonts w:ascii="Times New Roman" w:hAnsi="Times New Roman" w:cs="Times New Roman"/>
                <w:color w:val="auto"/>
                <w:sz w:val="24"/>
              </w:rPr>
            </w:pPr>
            <w:r w:rsidRPr="002A50B7">
              <w:rPr>
                <w:rFonts w:ascii="Times New Roman" w:hAnsi="Times New Roman" w:cs="Times New Roman"/>
                <w:color w:val="auto"/>
                <w:sz w:val="24"/>
                <w:lang w:val="en-US"/>
              </w:rPr>
              <w:t xml:space="preserve">PRIMARY SOURCES OF </w:t>
            </w:r>
            <w:r w:rsidRPr="002A50B7">
              <w:rPr>
                <w:rFonts w:ascii="Times New Roman" w:hAnsi="Times New Roman" w:cs="Times New Roman"/>
                <w:color w:val="auto"/>
                <w:sz w:val="24"/>
              </w:rPr>
              <w:t xml:space="preserve">EVIDENCE: </w:t>
            </w:r>
            <w:r w:rsidRPr="002A50B7">
              <w:rPr>
                <w:rFonts w:ascii="Times New Roman" w:hAnsi="Times New Roman" w:cs="Times New Roman"/>
                <w:color w:val="auto"/>
                <w:sz w:val="24"/>
                <w:lang w:val="en-US"/>
              </w:rPr>
              <w:t xml:space="preserve">Context for Learning Information; </w:t>
            </w:r>
            <w:r w:rsidRPr="002A50B7">
              <w:rPr>
                <w:rFonts w:ascii="Times New Roman" w:hAnsi="Times New Roman" w:cs="Times New Roman"/>
                <w:color w:val="auto"/>
                <w:sz w:val="24"/>
              </w:rPr>
              <w:t xml:space="preserve">Planning </w:t>
            </w:r>
            <w:r w:rsidRPr="002A50B7">
              <w:rPr>
                <w:rFonts w:ascii="Times New Roman" w:hAnsi="Times New Roman" w:cs="Times New Roman"/>
                <w:color w:val="auto"/>
                <w:sz w:val="24"/>
                <w:lang w:val="en-US"/>
              </w:rPr>
              <w:t>C</w:t>
            </w:r>
            <w:r w:rsidRPr="002A50B7">
              <w:rPr>
                <w:rFonts w:ascii="Times New Roman" w:hAnsi="Times New Roman" w:cs="Times New Roman"/>
                <w:color w:val="auto"/>
                <w:sz w:val="24"/>
              </w:rPr>
              <w:t xml:space="preserve">ommentary </w:t>
            </w:r>
            <w:r w:rsidRPr="002A50B7">
              <w:rPr>
                <w:rFonts w:ascii="Times New Roman" w:hAnsi="Times New Roman" w:cs="Times New Roman"/>
                <w:color w:val="auto"/>
                <w:sz w:val="24"/>
                <w:lang w:val="en-US"/>
              </w:rPr>
              <w:t>P</w:t>
            </w:r>
            <w:r w:rsidRPr="002A50B7">
              <w:rPr>
                <w:rFonts w:ascii="Times New Roman" w:hAnsi="Times New Roman" w:cs="Times New Roman"/>
                <w:color w:val="auto"/>
                <w:sz w:val="24"/>
              </w:rPr>
              <w:t>rompt 1</w:t>
            </w:r>
            <w:r w:rsidRPr="002A50B7">
              <w:rPr>
                <w:rFonts w:ascii="Times New Roman" w:hAnsi="Times New Roman" w:cs="Times New Roman"/>
                <w:color w:val="auto"/>
                <w:sz w:val="24"/>
                <w:lang w:val="en-US"/>
              </w:rPr>
              <w:t>; strategic review of L</w:t>
            </w:r>
            <w:r w:rsidRPr="002A50B7">
              <w:rPr>
                <w:rFonts w:ascii="Times New Roman" w:hAnsi="Times New Roman" w:cs="Times New Roman"/>
                <w:color w:val="auto"/>
                <w:sz w:val="24"/>
              </w:rPr>
              <w:t xml:space="preserve">esson </w:t>
            </w:r>
            <w:r w:rsidRPr="002A50B7">
              <w:rPr>
                <w:rFonts w:ascii="Times New Roman" w:hAnsi="Times New Roman" w:cs="Times New Roman"/>
                <w:color w:val="auto"/>
                <w:sz w:val="24"/>
                <w:lang w:val="en-US"/>
              </w:rPr>
              <w:t>P</w:t>
            </w:r>
            <w:r w:rsidRPr="002A50B7">
              <w:rPr>
                <w:rFonts w:ascii="Times New Roman" w:hAnsi="Times New Roman" w:cs="Times New Roman"/>
                <w:color w:val="auto"/>
                <w:sz w:val="24"/>
              </w:rPr>
              <w:t>lans</w:t>
            </w:r>
            <w:r w:rsidRPr="002A50B7">
              <w:rPr>
                <w:rFonts w:ascii="Times New Roman" w:hAnsi="Times New Roman" w:cs="Times New Roman"/>
                <w:color w:val="auto"/>
                <w:sz w:val="24"/>
                <w:lang w:val="en-US"/>
              </w:rPr>
              <w:t xml:space="preserve"> and In</w:t>
            </w:r>
            <w:r w:rsidRPr="002A50B7">
              <w:rPr>
                <w:rFonts w:ascii="Times New Roman" w:hAnsi="Times New Roman" w:cs="Times New Roman"/>
                <w:color w:val="auto"/>
                <w:sz w:val="24"/>
              </w:rPr>
              <w:t xml:space="preserve">structional </w:t>
            </w:r>
            <w:r w:rsidRPr="002A50B7">
              <w:rPr>
                <w:rFonts w:ascii="Times New Roman" w:hAnsi="Times New Roman" w:cs="Times New Roman"/>
                <w:color w:val="auto"/>
                <w:sz w:val="24"/>
                <w:lang w:val="en-US"/>
              </w:rPr>
              <w:t>M</w:t>
            </w:r>
            <w:r w:rsidRPr="002A50B7">
              <w:rPr>
                <w:rFonts w:ascii="Times New Roman" w:hAnsi="Times New Roman" w:cs="Times New Roman"/>
                <w:color w:val="auto"/>
                <w:sz w:val="24"/>
              </w:rPr>
              <w:t>aterials</w:t>
            </w:r>
          </w:p>
        </w:tc>
        <w:tc>
          <w:tcPr>
            <w:tcW w:w="630" w:type="dxa"/>
          </w:tcPr>
          <w:p w14:paraId="20320EC9" w14:textId="77777777" w:rsidR="00EF6C2E" w:rsidRPr="002A50B7" w:rsidRDefault="00EF6C2E" w:rsidP="009B17A7">
            <w:pPr>
              <w:widowControl w:val="0"/>
              <w:autoSpaceDE w:val="0"/>
              <w:autoSpaceDN w:val="0"/>
              <w:adjustRightInd w:val="0"/>
              <w:jc w:val="right"/>
              <w:rPr>
                <w:rFonts w:ascii="Times New Roman" w:hAnsi="Times New Roman"/>
                <w:sz w:val="24"/>
              </w:rPr>
            </w:pPr>
            <w:r w:rsidRPr="002A50B7">
              <w:rPr>
                <w:rFonts w:ascii="Times New Roman" w:hAnsi="Times New Roman"/>
                <w:sz w:val="24"/>
              </w:rPr>
              <w:t>18</w:t>
            </w:r>
          </w:p>
        </w:tc>
        <w:tc>
          <w:tcPr>
            <w:tcW w:w="895" w:type="dxa"/>
          </w:tcPr>
          <w:p w14:paraId="3B6E0A83" w14:textId="77777777" w:rsidR="00EF6C2E" w:rsidRPr="002A50B7" w:rsidRDefault="00EF6C2E" w:rsidP="009B17A7">
            <w:pPr>
              <w:widowControl w:val="0"/>
              <w:autoSpaceDE w:val="0"/>
              <w:autoSpaceDN w:val="0"/>
              <w:adjustRightInd w:val="0"/>
              <w:jc w:val="right"/>
              <w:rPr>
                <w:rFonts w:ascii="Times New Roman" w:hAnsi="Times New Roman"/>
                <w:sz w:val="24"/>
              </w:rPr>
            </w:pPr>
            <w:r w:rsidRPr="002A50B7">
              <w:rPr>
                <w:rFonts w:ascii="Times New Roman" w:hAnsi="Times New Roman"/>
                <w:sz w:val="24"/>
              </w:rPr>
              <w:t>2.89</w:t>
            </w:r>
          </w:p>
        </w:tc>
      </w:tr>
      <w:tr w:rsidR="00EF6C2E" w:rsidRPr="002A50B7" w14:paraId="59001BE9" w14:textId="77777777" w:rsidTr="009B17A7">
        <w:trPr>
          <w:trHeight w:val="2123"/>
        </w:trPr>
        <w:tc>
          <w:tcPr>
            <w:tcW w:w="7205" w:type="dxa"/>
          </w:tcPr>
          <w:p w14:paraId="2666A5F4" w14:textId="77777777" w:rsidR="00EF6C2E" w:rsidRPr="002A50B7" w:rsidRDefault="00EF6C2E" w:rsidP="009B17A7">
            <w:pPr>
              <w:pStyle w:val="Heading2wide"/>
              <w:spacing w:before="0" w:after="120"/>
              <w:ind w:left="144" w:right="144"/>
              <w:rPr>
                <w:rFonts w:ascii="Times New Roman" w:hAnsi="Times New Roman" w:cs="Times New Roman"/>
                <w:color w:val="auto"/>
                <w:sz w:val="24"/>
              </w:rPr>
            </w:pPr>
            <w:r w:rsidRPr="002A50B7">
              <w:rPr>
                <w:rFonts w:ascii="Times New Roman" w:hAnsi="Times New Roman" w:cs="Times New Roman"/>
                <w:color w:val="auto"/>
                <w:sz w:val="24"/>
              </w:rPr>
              <w:t>Planning Rubrics - Rubric</w:t>
            </w:r>
            <w:r w:rsidRPr="002A50B7">
              <w:rPr>
                <w:rFonts w:ascii="Times New Roman" w:hAnsi="Times New Roman" w:cs="Times New Roman"/>
                <w:color w:val="auto"/>
                <w:spacing w:val="-9"/>
                <w:sz w:val="24"/>
              </w:rPr>
              <w:t xml:space="preserve"> </w:t>
            </w:r>
            <w:r w:rsidRPr="002A50B7">
              <w:rPr>
                <w:rFonts w:ascii="Times New Roman" w:hAnsi="Times New Roman" w:cs="Times New Roman"/>
                <w:color w:val="auto"/>
                <w:sz w:val="24"/>
              </w:rPr>
              <w:t>2:</w:t>
            </w:r>
            <w:r w:rsidRPr="002A50B7">
              <w:rPr>
                <w:rFonts w:ascii="Times New Roman" w:hAnsi="Times New Roman" w:cs="Times New Roman"/>
                <w:color w:val="auto"/>
                <w:spacing w:val="-2"/>
                <w:sz w:val="24"/>
              </w:rPr>
              <w:t xml:space="preserve"> </w:t>
            </w:r>
            <w:r w:rsidRPr="002A50B7">
              <w:rPr>
                <w:rFonts w:ascii="Times New Roman" w:hAnsi="Times New Roman" w:cs="Times New Roman"/>
                <w:color w:val="auto"/>
                <w:sz w:val="24"/>
              </w:rPr>
              <w:t>Plann</w:t>
            </w:r>
            <w:r w:rsidRPr="002A50B7">
              <w:rPr>
                <w:rFonts w:ascii="Times New Roman" w:hAnsi="Times New Roman" w:cs="Times New Roman"/>
                <w:color w:val="auto"/>
                <w:spacing w:val="2"/>
                <w:sz w:val="24"/>
              </w:rPr>
              <w:t>i</w:t>
            </w:r>
            <w:r w:rsidRPr="002A50B7">
              <w:rPr>
                <w:rFonts w:ascii="Times New Roman" w:hAnsi="Times New Roman" w:cs="Times New Roman"/>
                <w:color w:val="auto"/>
                <w:sz w:val="24"/>
              </w:rPr>
              <w:t>ng</w:t>
            </w:r>
            <w:r w:rsidRPr="002A50B7">
              <w:rPr>
                <w:rFonts w:ascii="Times New Roman" w:hAnsi="Times New Roman" w:cs="Times New Roman"/>
                <w:color w:val="auto"/>
                <w:spacing w:val="-12"/>
                <w:sz w:val="24"/>
              </w:rPr>
              <w:t xml:space="preserve"> </w:t>
            </w:r>
            <w:r w:rsidRPr="002A50B7">
              <w:rPr>
                <w:rFonts w:ascii="Times New Roman" w:hAnsi="Times New Roman" w:cs="Times New Roman"/>
                <w:color w:val="auto"/>
                <w:sz w:val="24"/>
              </w:rPr>
              <w:t>to</w:t>
            </w:r>
            <w:r w:rsidRPr="002A50B7">
              <w:rPr>
                <w:rFonts w:ascii="Times New Roman" w:hAnsi="Times New Roman" w:cs="Times New Roman"/>
                <w:color w:val="auto"/>
                <w:spacing w:val="-3"/>
                <w:sz w:val="24"/>
              </w:rPr>
              <w:t xml:space="preserve"> </w:t>
            </w:r>
            <w:r w:rsidRPr="002A50B7">
              <w:rPr>
                <w:rFonts w:ascii="Times New Roman" w:hAnsi="Times New Roman" w:cs="Times New Roman"/>
                <w:color w:val="auto"/>
                <w:sz w:val="24"/>
              </w:rPr>
              <w:t>Support</w:t>
            </w:r>
            <w:r w:rsidRPr="002A50B7">
              <w:rPr>
                <w:rFonts w:ascii="Times New Roman" w:hAnsi="Times New Roman" w:cs="Times New Roman"/>
                <w:color w:val="auto"/>
                <w:spacing w:val="-11"/>
                <w:sz w:val="24"/>
              </w:rPr>
              <w:t xml:space="preserve"> </w:t>
            </w:r>
            <w:r w:rsidRPr="002A50B7">
              <w:rPr>
                <w:rFonts w:ascii="Times New Roman" w:hAnsi="Times New Roman" w:cs="Times New Roman"/>
                <w:color w:val="auto"/>
                <w:sz w:val="24"/>
              </w:rPr>
              <w:t>Varied</w:t>
            </w:r>
            <w:r w:rsidRPr="002A50B7">
              <w:rPr>
                <w:rFonts w:ascii="Times New Roman" w:hAnsi="Times New Roman" w:cs="Times New Roman"/>
                <w:color w:val="auto"/>
                <w:spacing w:val="-9"/>
                <w:sz w:val="24"/>
              </w:rPr>
              <w:t xml:space="preserve"> </w:t>
            </w:r>
            <w:r w:rsidRPr="002A50B7">
              <w:rPr>
                <w:rFonts w:ascii="Times New Roman" w:hAnsi="Times New Roman" w:cs="Times New Roman"/>
                <w:color w:val="auto"/>
                <w:sz w:val="24"/>
              </w:rPr>
              <w:t>Student</w:t>
            </w:r>
            <w:r w:rsidRPr="002A50B7">
              <w:rPr>
                <w:rFonts w:ascii="Times New Roman" w:hAnsi="Times New Roman" w:cs="Times New Roman"/>
                <w:color w:val="auto"/>
                <w:spacing w:val="-10"/>
                <w:sz w:val="24"/>
              </w:rPr>
              <w:t xml:space="preserve"> </w:t>
            </w:r>
            <w:r w:rsidRPr="002A50B7">
              <w:rPr>
                <w:rFonts w:ascii="Times New Roman" w:hAnsi="Times New Roman" w:cs="Times New Roman"/>
                <w:color w:val="auto"/>
                <w:sz w:val="24"/>
              </w:rPr>
              <w:t>Learning</w:t>
            </w:r>
            <w:r w:rsidRPr="002A50B7">
              <w:rPr>
                <w:rFonts w:ascii="Times New Roman" w:hAnsi="Times New Roman" w:cs="Times New Roman"/>
                <w:color w:val="auto"/>
                <w:spacing w:val="-12"/>
                <w:sz w:val="24"/>
              </w:rPr>
              <w:t xml:space="preserve"> </w:t>
            </w:r>
            <w:r w:rsidRPr="002A50B7">
              <w:rPr>
                <w:rFonts w:ascii="Times New Roman" w:hAnsi="Times New Roman" w:cs="Times New Roman"/>
                <w:color w:val="auto"/>
                <w:sz w:val="24"/>
              </w:rPr>
              <w:t>Needs</w:t>
            </w:r>
          </w:p>
          <w:p w14:paraId="4AF93A23" w14:textId="77777777" w:rsidR="00EF6C2E" w:rsidRPr="002A50B7" w:rsidRDefault="00EF6C2E" w:rsidP="009B17A7">
            <w:pPr>
              <w:pStyle w:val="Heading2wide"/>
              <w:spacing w:before="0" w:after="120"/>
              <w:ind w:left="144" w:right="144"/>
              <w:rPr>
                <w:rFonts w:ascii="Times New Roman" w:hAnsi="Times New Roman" w:cs="Times New Roman"/>
                <w:color w:val="auto"/>
                <w:sz w:val="24"/>
                <w:lang w:val="en-US"/>
              </w:rPr>
            </w:pPr>
            <w:r w:rsidRPr="002A50B7">
              <w:rPr>
                <w:rFonts w:ascii="Times New Roman" w:hAnsi="Times New Roman" w:cs="Times New Roman"/>
                <w:color w:val="auto"/>
                <w:sz w:val="24"/>
                <w:lang w:val="en-US"/>
              </w:rPr>
              <w:t xml:space="preserve">PRIMARY SOURCES OF </w:t>
            </w:r>
            <w:r w:rsidRPr="002A50B7">
              <w:rPr>
                <w:rFonts w:ascii="Times New Roman" w:hAnsi="Times New Roman" w:cs="Times New Roman"/>
                <w:color w:val="auto"/>
                <w:sz w:val="24"/>
              </w:rPr>
              <w:t xml:space="preserve">EVIDENCE: </w:t>
            </w:r>
            <w:r w:rsidRPr="002A50B7">
              <w:rPr>
                <w:rFonts w:ascii="Times New Roman" w:hAnsi="Times New Roman" w:cs="Times New Roman"/>
                <w:color w:val="auto"/>
                <w:sz w:val="24"/>
                <w:lang w:val="en-US"/>
              </w:rPr>
              <w:t xml:space="preserve">Context for Learning Information (required supports, modifications, or accommodations); </w:t>
            </w:r>
            <w:r w:rsidRPr="002A50B7">
              <w:rPr>
                <w:rFonts w:ascii="Times New Roman" w:hAnsi="Times New Roman" w:cs="Times New Roman"/>
                <w:color w:val="auto"/>
                <w:sz w:val="24"/>
              </w:rPr>
              <w:t xml:space="preserve">Planning </w:t>
            </w:r>
            <w:r w:rsidRPr="002A50B7">
              <w:rPr>
                <w:rFonts w:ascii="Times New Roman" w:hAnsi="Times New Roman" w:cs="Times New Roman"/>
                <w:color w:val="auto"/>
                <w:sz w:val="24"/>
                <w:lang w:val="en-US"/>
              </w:rPr>
              <w:t>C</w:t>
            </w:r>
            <w:r w:rsidRPr="002A50B7">
              <w:rPr>
                <w:rFonts w:ascii="Times New Roman" w:hAnsi="Times New Roman" w:cs="Times New Roman"/>
                <w:color w:val="auto"/>
                <w:sz w:val="24"/>
              </w:rPr>
              <w:t xml:space="preserve">ommentary </w:t>
            </w:r>
            <w:r w:rsidRPr="002A50B7">
              <w:rPr>
                <w:rFonts w:ascii="Times New Roman" w:hAnsi="Times New Roman" w:cs="Times New Roman"/>
                <w:color w:val="auto"/>
                <w:sz w:val="24"/>
                <w:lang w:val="en-US"/>
              </w:rPr>
              <w:t>P</w:t>
            </w:r>
            <w:r w:rsidRPr="002A50B7">
              <w:rPr>
                <w:rFonts w:ascii="Times New Roman" w:hAnsi="Times New Roman" w:cs="Times New Roman"/>
                <w:color w:val="auto"/>
                <w:sz w:val="24"/>
              </w:rPr>
              <w:t xml:space="preserve">rompts 2 </w:t>
            </w:r>
            <w:r w:rsidRPr="002A50B7">
              <w:rPr>
                <w:rFonts w:ascii="Times New Roman" w:hAnsi="Times New Roman" w:cs="Times New Roman"/>
                <w:color w:val="auto"/>
                <w:sz w:val="24"/>
                <w:lang w:val="en-US"/>
              </w:rPr>
              <w:t>and</w:t>
            </w:r>
            <w:r w:rsidRPr="002A50B7">
              <w:rPr>
                <w:rFonts w:ascii="Times New Roman" w:hAnsi="Times New Roman" w:cs="Times New Roman"/>
                <w:color w:val="auto"/>
                <w:sz w:val="24"/>
              </w:rPr>
              <w:t xml:space="preserve"> 3</w:t>
            </w:r>
            <w:r w:rsidRPr="002A50B7">
              <w:rPr>
                <w:rFonts w:ascii="Times New Roman" w:hAnsi="Times New Roman" w:cs="Times New Roman"/>
                <w:color w:val="auto"/>
                <w:sz w:val="24"/>
                <w:lang w:val="en-US"/>
              </w:rPr>
              <w:t>;</w:t>
            </w:r>
            <w:r w:rsidRPr="002A50B7">
              <w:rPr>
                <w:rFonts w:ascii="Times New Roman" w:hAnsi="Times New Roman" w:cs="Times New Roman"/>
                <w:color w:val="auto"/>
                <w:sz w:val="24"/>
              </w:rPr>
              <w:t xml:space="preserve"> </w:t>
            </w:r>
            <w:r w:rsidRPr="002A50B7">
              <w:rPr>
                <w:rFonts w:ascii="Times New Roman" w:hAnsi="Times New Roman" w:cs="Times New Roman"/>
                <w:color w:val="auto"/>
                <w:sz w:val="24"/>
                <w:lang w:val="en-US"/>
              </w:rPr>
              <w:t>strategic review of L</w:t>
            </w:r>
            <w:r w:rsidRPr="002A50B7">
              <w:rPr>
                <w:rFonts w:ascii="Times New Roman" w:hAnsi="Times New Roman" w:cs="Times New Roman"/>
                <w:color w:val="auto"/>
                <w:sz w:val="24"/>
              </w:rPr>
              <w:t xml:space="preserve">esson </w:t>
            </w:r>
            <w:r w:rsidRPr="002A50B7">
              <w:rPr>
                <w:rFonts w:ascii="Times New Roman" w:hAnsi="Times New Roman" w:cs="Times New Roman"/>
                <w:color w:val="auto"/>
                <w:sz w:val="24"/>
                <w:lang w:val="en-US"/>
              </w:rPr>
              <w:t>P</w:t>
            </w:r>
            <w:r w:rsidRPr="002A50B7">
              <w:rPr>
                <w:rFonts w:ascii="Times New Roman" w:hAnsi="Times New Roman" w:cs="Times New Roman"/>
                <w:color w:val="auto"/>
                <w:sz w:val="24"/>
              </w:rPr>
              <w:t>lans</w:t>
            </w:r>
            <w:r w:rsidRPr="002A50B7">
              <w:rPr>
                <w:rFonts w:ascii="Times New Roman" w:hAnsi="Times New Roman" w:cs="Times New Roman"/>
                <w:color w:val="auto"/>
                <w:sz w:val="24"/>
                <w:lang w:val="en-US"/>
              </w:rPr>
              <w:t xml:space="preserve"> and In</w:t>
            </w:r>
            <w:r w:rsidRPr="002A50B7">
              <w:rPr>
                <w:rFonts w:ascii="Times New Roman" w:hAnsi="Times New Roman" w:cs="Times New Roman"/>
                <w:color w:val="auto"/>
                <w:sz w:val="24"/>
              </w:rPr>
              <w:t>structional</w:t>
            </w:r>
            <w:r w:rsidRPr="002A50B7">
              <w:rPr>
                <w:rFonts w:ascii="Times New Roman" w:hAnsi="Times New Roman" w:cs="Times New Roman"/>
                <w:color w:val="auto"/>
                <w:sz w:val="24"/>
                <w:lang w:val="en-US"/>
              </w:rPr>
              <w:t xml:space="preserve"> M</w:t>
            </w:r>
            <w:r w:rsidRPr="002A50B7">
              <w:rPr>
                <w:rFonts w:ascii="Times New Roman" w:hAnsi="Times New Roman" w:cs="Times New Roman"/>
                <w:color w:val="auto"/>
                <w:sz w:val="24"/>
              </w:rPr>
              <w:t>aterials</w:t>
            </w:r>
            <w:r w:rsidRPr="002A50B7">
              <w:rPr>
                <w:rFonts w:ascii="Times New Roman" w:hAnsi="Times New Roman" w:cs="Times New Roman"/>
                <w:color w:val="auto"/>
                <w:sz w:val="24"/>
                <w:lang w:val="en-US"/>
              </w:rPr>
              <w:t xml:space="preserve"> to clarify planned supports</w:t>
            </w:r>
          </w:p>
          <w:p w14:paraId="563828E8" w14:textId="77777777" w:rsidR="00EF6C2E" w:rsidRPr="002A50B7" w:rsidRDefault="00EF6C2E" w:rsidP="009B17A7">
            <w:pPr>
              <w:widowControl w:val="0"/>
              <w:autoSpaceDE w:val="0"/>
              <w:autoSpaceDN w:val="0"/>
              <w:adjustRightInd w:val="0"/>
              <w:rPr>
                <w:rFonts w:ascii="Times New Roman" w:hAnsi="Times New Roman"/>
                <w:sz w:val="24"/>
              </w:rPr>
            </w:pPr>
          </w:p>
        </w:tc>
        <w:tc>
          <w:tcPr>
            <w:tcW w:w="630" w:type="dxa"/>
          </w:tcPr>
          <w:p w14:paraId="43861E1A" w14:textId="77777777" w:rsidR="00EF6C2E" w:rsidRPr="002A50B7" w:rsidRDefault="00EF6C2E" w:rsidP="009B17A7">
            <w:pPr>
              <w:widowControl w:val="0"/>
              <w:autoSpaceDE w:val="0"/>
              <w:autoSpaceDN w:val="0"/>
              <w:adjustRightInd w:val="0"/>
              <w:jc w:val="right"/>
              <w:rPr>
                <w:rFonts w:ascii="Times New Roman" w:hAnsi="Times New Roman"/>
                <w:sz w:val="24"/>
              </w:rPr>
            </w:pPr>
            <w:r w:rsidRPr="002A50B7">
              <w:rPr>
                <w:rFonts w:ascii="Times New Roman" w:hAnsi="Times New Roman"/>
                <w:sz w:val="24"/>
              </w:rPr>
              <w:t>18</w:t>
            </w:r>
          </w:p>
        </w:tc>
        <w:tc>
          <w:tcPr>
            <w:tcW w:w="895" w:type="dxa"/>
          </w:tcPr>
          <w:p w14:paraId="0B3DB2C6" w14:textId="77777777" w:rsidR="00EF6C2E" w:rsidRPr="002A50B7" w:rsidRDefault="00EF6C2E" w:rsidP="009B17A7">
            <w:pPr>
              <w:widowControl w:val="0"/>
              <w:autoSpaceDE w:val="0"/>
              <w:autoSpaceDN w:val="0"/>
              <w:adjustRightInd w:val="0"/>
              <w:jc w:val="right"/>
              <w:rPr>
                <w:rFonts w:ascii="Times New Roman" w:hAnsi="Times New Roman"/>
                <w:sz w:val="24"/>
              </w:rPr>
            </w:pPr>
            <w:r w:rsidRPr="002A50B7">
              <w:rPr>
                <w:rFonts w:ascii="Times New Roman" w:hAnsi="Times New Roman"/>
                <w:sz w:val="24"/>
              </w:rPr>
              <w:t>3</w:t>
            </w:r>
          </w:p>
        </w:tc>
      </w:tr>
      <w:tr w:rsidR="00EF6C2E" w:rsidRPr="002A50B7" w14:paraId="70A7982D" w14:textId="77777777" w:rsidTr="009B17A7">
        <w:trPr>
          <w:trHeight w:val="1070"/>
        </w:trPr>
        <w:tc>
          <w:tcPr>
            <w:tcW w:w="7205" w:type="dxa"/>
          </w:tcPr>
          <w:p w14:paraId="743BAC82" w14:textId="77777777" w:rsidR="00EF6C2E" w:rsidRPr="002A50B7" w:rsidRDefault="00EF6C2E" w:rsidP="009B17A7">
            <w:pPr>
              <w:pStyle w:val="Heading2wide"/>
              <w:spacing w:before="360" w:after="120"/>
              <w:ind w:right="720"/>
              <w:rPr>
                <w:rFonts w:ascii="Times New Roman" w:hAnsi="Times New Roman" w:cs="Times New Roman"/>
                <w:color w:val="auto"/>
                <w:sz w:val="24"/>
              </w:rPr>
            </w:pPr>
            <w:r w:rsidRPr="002A50B7">
              <w:rPr>
                <w:rFonts w:ascii="Times New Roman" w:hAnsi="Times New Roman" w:cs="Times New Roman"/>
                <w:color w:val="auto"/>
                <w:sz w:val="24"/>
              </w:rPr>
              <w:t>Planning Rubrics - Rubric</w:t>
            </w:r>
            <w:r w:rsidRPr="002A50B7">
              <w:rPr>
                <w:rFonts w:ascii="Times New Roman" w:hAnsi="Times New Roman" w:cs="Times New Roman"/>
                <w:color w:val="auto"/>
                <w:spacing w:val="-9"/>
                <w:sz w:val="24"/>
              </w:rPr>
              <w:t xml:space="preserve"> </w:t>
            </w:r>
            <w:r w:rsidRPr="002A50B7">
              <w:rPr>
                <w:rFonts w:ascii="Times New Roman" w:hAnsi="Times New Roman" w:cs="Times New Roman"/>
                <w:color w:val="auto"/>
                <w:sz w:val="24"/>
              </w:rPr>
              <w:t>3:</w:t>
            </w:r>
            <w:r w:rsidRPr="002A50B7">
              <w:rPr>
                <w:rFonts w:ascii="Times New Roman" w:hAnsi="Times New Roman" w:cs="Times New Roman"/>
                <w:color w:val="auto"/>
                <w:spacing w:val="-2"/>
                <w:sz w:val="24"/>
              </w:rPr>
              <w:t xml:space="preserve"> </w:t>
            </w:r>
            <w:r w:rsidRPr="002A50B7">
              <w:rPr>
                <w:rFonts w:ascii="Times New Roman" w:hAnsi="Times New Roman" w:cs="Times New Roman"/>
                <w:color w:val="auto"/>
                <w:sz w:val="24"/>
              </w:rPr>
              <w:t>Using</w:t>
            </w:r>
            <w:r w:rsidRPr="002A50B7">
              <w:rPr>
                <w:rFonts w:ascii="Times New Roman" w:hAnsi="Times New Roman" w:cs="Times New Roman"/>
                <w:color w:val="auto"/>
                <w:spacing w:val="-8"/>
                <w:sz w:val="24"/>
              </w:rPr>
              <w:t xml:space="preserve"> </w:t>
            </w:r>
            <w:r w:rsidRPr="002A50B7">
              <w:rPr>
                <w:rFonts w:ascii="Times New Roman" w:hAnsi="Times New Roman" w:cs="Times New Roman"/>
                <w:color w:val="auto"/>
                <w:sz w:val="24"/>
              </w:rPr>
              <w:t>Knowledge</w:t>
            </w:r>
            <w:r w:rsidRPr="002A50B7">
              <w:rPr>
                <w:rFonts w:ascii="Times New Roman" w:hAnsi="Times New Roman" w:cs="Times New Roman"/>
                <w:color w:val="auto"/>
                <w:spacing w:val="-15"/>
                <w:sz w:val="24"/>
              </w:rPr>
              <w:t xml:space="preserve"> </w:t>
            </w:r>
            <w:r w:rsidRPr="002A50B7">
              <w:rPr>
                <w:rFonts w:ascii="Times New Roman" w:hAnsi="Times New Roman" w:cs="Times New Roman"/>
                <w:color w:val="auto"/>
                <w:sz w:val="24"/>
              </w:rPr>
              <w:t>of</w:t>
            </w:r>
            <w:r w:rsidRPr="002A50B7">
              <w:rPr>
                <w:rFonts w:ascii="Times New Roman" w:hAnsi="Times New Roman" w:cs="Times New Roman"/>
                <w:color w:val="auto"/>
                <w:spacing w:val="-3"/>
                <w:sz w:val="24"/>
              </w:rPr>
              <w:t xml:space="preserve"> </w:t>
            </w:r>
            <w:r w:rsidRPr="002A50B7">
              <w:rPr>
                <w:rFonts w:ascii="Times New Roman" w:hAnsi="Times New Roman" w:cs="Times New Roman"/>
                <w:color w:val="auto"/>
                <w:sz w:val="24"/>
              </w:rPr>
              <w:t>Stu</w:t>
            </w:r>
            <w:r w:rsidRPr="002A50B7">
              <w:rPr>
                <w:rFonts w:ascii="Times New Roman" w:hAnsi="Times New Roman" w:cs="Times New Roman"/>
                <w:color w:val="auto"/>
                <w:spacing w:val="1"/>
                <w:sz w:val="24"/>
              </w:rPr>
              <w:t>d</w:t>
            </w:r>
            <w:r w:rsidRPr="002A50B7">
              <w:rPr>
                <w:rFonts w:ascii="Times New Roman" w:hAnsi="Times New Roman" w:cs="Times New Roman"/>
                <w:color w:val="auto"/>
                <w:sz w:val="24"/>
              </w:rPr>
              <w:t>ents</w:t>
            </w:r>
            <w:r w:rsidRPr="002A50B7">
              <w:rPr>
                <w:rFonts w:ascii="Times New Roman" w:hAnsi="Times New Roman" w:cs="Times New Roman"/>
                <w:color w:val="auto"/>
                <w:spacing w:val="-12"/>
                <w:sz w:val="24"/>
              </w:rPr>
              <w:t xml:space="preserve"> </w:t>
            </w:r>
            <w:r w:rsidRPr="002A50B7">
              <w:rPr>
                <w:rFonts w:ascii="Times New Roman" w:hAnsi="Times New Roman" w:cs="Times New Roman"/>
                <w:color w:val="auto"/>
                <w:sz w:val="24"/>
              </w:rPr>
              <w:t>to</w:t>
            </w:r>
            <w:r w:rsidRPr="002A50B7">
              <w:rPr>
                <w:rFonts w:ascii="Times New Roman" w:hAnsi="Times New Roman" w:cs="Times New Roman"/>
                <w:color w:val="auto"/>
                <w:spacing w:val="-3"/>
                <w:sz w:val="24"/>
              </w:rPr>
              <w:t xml:space="preserve"> </w:t>
            </w:r>
            <w:r w:rsidRPr="002A50B7">
              <w:rPr>
                <w:rFonts w:ascii="Times New Roman" w:hAnsi="Times New Roman" w:cs="Times New Roman"/>
                <w:color w:val="auto"/>
                <w:sz w:val="24"/>
              </w:rPr>
              <w:t>Inform</w:t>
            </w:r>
            <w:r w:rsidRPr="002A50B7">
              <w:rPr>
                <w:rFonts w:ascii="Times New Roman" w:hAnsi="Times New Roman" w:cs="Times New Roman"/>
                <w:color w:val="auto"/>
                <w:spacing w:val="-9"/>
                <w:sz w:val="24"/>
              </w:rPr>
              <w:t xml:space="preserve"> </w:t>
            </w:r>
            <w:r w:rsidRPr="002A50B7">
              <w:rPr>
                <w:rFonts w:ascii="Times New Roman" w:hAnsi="Times New Roman" w:cs="Times New Roman"/>
                <w:color w:val="auto"/>
                <w:sz w:val="24"/>
              </w:rPr>
              <w:t>Teaching</w:t>
            </w:r>
            <w:r w:rsidRPr="002A50B7">
              <w:rPr>
                <w:rFonts w:ascii="Times New Roman" w:hAnsi="Times New Roman" w:cs="Times New Roman"/>
                <w:color w:val="auto"/>
                <w:spacing w:val="-12"/>
                <w:sz w:val="24"/>
              </w:rPr>
              <w:t xml:space="preserve"> </w:t>
            </w:r>
            <w:r w:rsidRPr="002A50B7">
              <w:rPr>
                <w:rFonts w:ascii="Times New Roman" w:hAnsi="Times New Roman" w:cs="Times New Roman"/>
                <w:color w:val="auto"/>
                <w:sz w:val="24"/>
              </w:rPr>
              <w:t>and</w:t>
            </w:r>
            <w:r w:rsidRPr="002A50B7">
              <w:rPr>
                <w:rFonts w:ascii="Times New Roman" w:hAnsi="Times New Roman" w:cs="Times New Roman"/>
                <w:color w:val="auto"/>
                <w:spacing w:val="-5"/>
                <w:sz w:val="24"/>
              </w:rPr>
              <w:t xml:space="preserve"> </w:t>
            </w:r>
            <w:r w:rsidRPr="002A50B7">
              <w:rPr>
                <w:rFonts w:ascii="Times New Roman" w:hAnsi="Times New Roman" w:cs="Times New Roman"/>
                <w:color w:val="auto"/>
                <w:sz w:val="24"/>
              </w:rPr>
              <w:t>Learning</w:t>
            </w:r>
          </w:p>
          <w:p w14:paraId="3055E286" w14:textId="77777777" w:rsidR="00EF6C2E" w:rsidRPr="002A50B7" w:rsidRDefault="00EF6C2E" w:rsidP="009B17A7">
            <w:pPr>
              <w:pStyle w:val="Heading2wide"/>
              <w:spacing w:before="360" w:after="120"/>
              <w:ind w:right="720"/>
              <w:rPr>
                <w:rFonts w:ascii="Times New Roman" w:hAnsi="Times New Roman" w:cs="Times New Roman"/>
                <w:color w:val="auto"/>
                <w:sz w:val="24"/>
              </w:rPr>
            </w:pPr>
            <w:r w:rsidRPr="002A50B7">
              <w:rPr>
                <w:rFonts w:ascii="Times New Roman" w:hAnsi="Times New Roman" w:cs="Times New Roman"/>
                <w:color w:val="auto"/>
                <w:sz w:val="24"/>
                <w:lang w:val="en-US"/>
              </w:rPr>
              <w:t xml:space="preserve">PRIMARY SOURCES OF </w:t>
            </w:r>
            <w:r w:rsidRPr="002A50B7">
              <w:rPr>
                <w:rFonts w:ascii="Times New Roman" w:hAnsi="Times New Roman" w:cs="Times New Roman"/>
                <w:color w:val="auto"/>
                <w:sz w:val="24"/>
              </w:rPr>
              <w:t xml:space="preserve">EVIDENCE: Planning </w:t>
            </w:r>
            <w:r w:rsidRPr="002A50B7">
              <w:rPr>
                <w:rFonts w:ascii="Times New Roman" w:hAnsi="Times New Roman" w:cs="Times New Roman"/>
                <w:color w:val="auto"/>
                <w:sz w:val="24"/>
                <w:lang w:val="en-US"/>
              </w:rPr>
              <w:t>C</w:t>
            </w:r>
            <w:r w:rsidRPr="002A50B7">
              <w:rPr>
                <w:rFonts w:ascii="Times New Roman" w:hAnsi="Times New Roman" w:cs="Times New Roman"/>
                <w:color w:val="auto"/>
                <w:sz w:val="24"/>
              </w:rPr>
              <w:t xml:space="preserve">ommentary </w:t>
            </w:r>
            <w:r w:rsidRPr="002A50B7">
              <w:rPr>
                <w:rFonts w:ascii="Times New Roman" w:hAnsi="Times New Roman" w:cs="Times New Roman"/>
                <w:color w:val="auto"/>
                <w:sz w:val="24"/>
                <w:lang w:val="en-US"/>
              </w:rPr>
              <w:t>P</w:t>
            </w:r>
            <w:r w:rsidRPr="002A50B7">
              <w:rPr>
                <w:rFonts w:ascii="Times New Roman" w:hAnsi="Times New Roman" w:cs="Times New Roman"/>
                <w:color w:val="auto"/>
                <w:sz w:val="24"/>
              </w:rPr>
              <w:t xml:space="preserve">rompts 2 </w:t>
            </w:r>
            <w:r w:rsidRPr="002A50B7">
              <w:rPr>
                <w:rFonts w:ascii="Times New Roman" w:hAnsi="Times New Roman" w:cs="Times New Roman"/>
                <w:color w:val="auto"/>
                <w:sz w:val="24"/>
                <w:lang w:val="en-US"/>
              </w:rPr>
              <w:t>and</w:t>
            </w:r>
            <w:r w:rsidRPr="002A50B7">
              <w:rPr>
                <w:rFonts w:ascii="Times New Roman" w:hAnsi="Times New Roman" w:cs="Times New Roman"/>
                <w:color w:val="auto"/>
                <w:sz w:val="24"/>
              </w:rPr>
              <w:t xml:space="preserve"> 3</w:t>
            </w:r>
          </w:p>
        </w:tc>
        <w:tc>
          <w:tcPr>
            <w:tcW w:w="630" w:type="dxa"/>
          </w:tcPr>
          <w:p w14:paraId="69E00CB6" w14:textId="77777777" w:rsidR="00EF6C2E" w:rsidRPr="002A50B7" w:rsidRDefault="00EF6C2E" w:rsidP="009B17A7">
            <w:pPr>
              <w:widowControl w:val="0"/>
              <w:autoSpaceDE w:val="0"/>
              <w:autoSpaceDN w:val="0"/>
              <w:adjustRightInd w:val="0"/>
              <w:jc w:val="right"/>
              <w:rPr>
                <w:rFonts w:ascii="Times New Roman" w:hAnsi="Times New Roman"/>
                <w:sz w:val="24"/>
                <w:highlight w:val="yellow"/>
              </w:rPr>
            </w:pPr>
            <w:r w:rsidRPr="002A50B7">
              <w:rPr>
                <w:rFonts w:ascii="Times New Roman" w:hAnsi="Times New Roman"/>
                <w:sz w:val="24"/>
              </w:rPr>
              <w:t>18</w:t>
            </w:r>
          </w:p>
        </w:tc>
        <w:tc>
          <w:tcPr>
            <w:tcW w:w="895" w:type="dxa"/>
          </w:tcPr>
          <w:p w14:paraId="5354A0BF" w14:textId="77777777" w:rsidR="00EF6C2E" w:rsidRPr="002A50B7" w:rsidRDefault="00EF6C2E" w:rsidP="009B17A7">
            <w:pPr>
              <w:widowControl w:val="0"/>
              <w:autoSpaceDE w:val="0"/>
              <w:autoSpaceDN w:val="0"/>
              <w:adjustRightInd w:val="0"/>
              <w:jc w:val="right"/>
              <w:rPr>
                <w:rFonts w:ascii="Times New Roman" w:hAnsi="Times New Roman"/>
                <w:sz w:val="24"/>
                <w:highlight w:val="yellow"/>
              </w:rPr>
            </w:pPr>
            <w:r w:rsidRPr="002A50B7">
              <w:rPr>
                <w:rFonts w:ascii="Times New Roman" w:hAnsi="Times New Roman"/>
                <w:sz w:val="24"/>
              </w:rPr>
              <w:t>2.75</w:t>
            </w:r>
          </w:p>
        </w:tc>
      </w:tr>
      <w:tr w:rsidR="00EF6C2E" w:rsidRPr="002A50B7" w14:paraId="4D3C7087" w14:textId="77777777" w:rsidTr="009B17A7">
        <w:trPr>
          <w:trHeight w:val="620"/>
        </w:trPr>
        <w:tc>
          <w:tcPr>
            <w:tcW w:w="7205" w:type="dxa"/>
          </w:tcPr>
          <w:p w14:paraId="6885D98D" w14:textId="77777777" w:rsidR="00EF6C2E" w:rsidRPr="002A50B7" w:rsidRDefault="00EF6C2E" w:rsidP="009B17A7">
            <w:pPr>
              <w:pStyle w:val="Heading2wide"/>
              <w:spacing w:before="240" w:after="120"/>
              <w:ind w:left="144" w:right="144"/>
              <w:rPr>
                <w:rFonts w:ascii="Times New Roman" w:hAnsi="Times New Roman" w:cs="Times New Roman"/>
                <w:color w:val="auto"/>
                <w:sz w:val="24"/>
              </w:rPr>
            </w:pPr>
            <w:r w:rsidRPr="002A50B7">
              <w:rPr>
                <w:rFonts w:ascii="Times New Roman" w:hAnsi="Times New Roman" w:cs="Times New Roman"/>
                <w:color w:val="auto"/>
                <w:sz w:val="24"/>
              </w:rPr>
              <w:t>Planning Rubrics - Rubric</w:t>
            </w:r>
            <w:r w:rsidRPr="002A50B7">
              <w:rPr>
                <w:rFonts w:ascii="Times New Roman" w:hAnsi="Times New Roman" w:cs="Times New Roman"/>
                <w:color w:val="auto"/>
                <w:spacing w:val="-9"/>
                <w:sz w:val="24"/>
              </w:rPr>
              <w:t xml:space="preserve"> </w:t>
            </w:r>
            <w:r w:rsidRPr="002A50B7">
              <w:rPr>
                <w:rFonts w:ascii="Times New Roman" w:hAnsi="Times New Roman" w:cs="Times New Roman"/>
                <w:color w:val="auto"/>
                <w:sz w:val="24"/>
              </w:rPr>
              <w:t>4:</w:t>
            </w:r>
            <w:r w:rsidRPr="002A50B7">
              <w:rPr>
                <w:rFonts w:ascii="Times New Roman" w:hAnsi="Times New Roman" w:cs="Times New Roman"/>
                <w:color w:val="auto"/>
                <w:spacing w:val="-2"/>
                <w:sz w:val="24"/>
              </w:rPr>
              <w:t xml:space="preserve"> </w:t>
            </w:r>
            <w:r w:rsidRPr="002A50B7">
              <w:rPr>
                <w:rFonts w:ascii="Times New Roman" w:hAnsi="Times New Roman" w:cs="Times New Roman"/>
                <w:color w:val="auto"/>
                <w:sz w:val="24"/>
              </w:rPr>
              <w:t>Identi</w:t>
            </w:r>
            <w:r w:rsidRPr="002A50B7">
              <w:rPr>
                <w:rFonts w:ascii="Times New Roman" w:hAnsi="Times New Roman" w:cs="Times New Roman"/>
                <w:color w:val="auto"/>
                <w:spacing w:val="2"/>
                <w:sz w:val="24"/>
              </w:rPr>
              <w:t>f</w:t>
            </w:r>
            <w:r w:rsidRPr="002A50B7">
              <w:rPr>
                <w:rFonts w:ascii="Times New Roman" w:hAnsi="Times New Roman" w:cs="Times New Roman"/>
                <w:color w:val="auto"/>
                <w:spacing w:val="-3"/>
                <w:sz w:val="24"/>
              </w:rPr>
              <w:t>y</w:t>
            </w:r>
            <w:r w:rsidRPr="002A50B7">
              <w:rPr>
                <w:rFonts w:ascii="Times New Roman" w:hAnsi="Times New Roman" w:cs="Times New Roman"/>
                <w:color w:val="auto"/>
                <w:spacing w:val="2"/>
                <w:sz w:val="24"/>
              </w:rPr>
              <w:t>i</w:t>
            </w:r>
            <w:r w:rsidRPr="002A50B7">
              <w:rPr>
                <w:rFonts w:ascii="Times New Roman" w:hAnsi="Times New Roman" w:cs="Times New Roman"/>
                <w:color w:val="auto"/>
                <w:sz w:val="24"/>
              </w:rPr>
              <w:t>ng</w:t>
            </w:r>
            <w:r w:rsidRPr="002A50B7">
              <w:rPr>
                <w:rFonts w:ascii="Times New Roman" w:hAnsi="Times New Roman" w:cs="Times New Roman"/>
                <w:color w:val="auto"/>
                <w:spacing w:val="-14"/>
                <w:sz w:val="24"/>
              </w:rPr>
              <w:t xml:space="preserve"> </w:t>
            </w:r>
            <w:r w:rsidRPr="002A50B7">
              <w:rPr>
                <w:rFonts w:ascii="Times New Roman" w:hAnsi="Times New Roman" w:cs="Times New Roman"/>
                <w:color w:val="auto"/>
                <w:sz w:val="24"/>
              </w:rPr>
              <w:t>and</w:t>
            </w:r>
            <w:r w:rsidRPr="002A50B7">
              <w:rPr>
                <w:rFonts w:ascii="Times New Roman" w:hAnsi="Times New Roman" w:cs="Times New Roman"/>
                <w:color w:val="auto"/>
                <w:spacing w:val="-5"/>
                <w:sz w:val="24"/>
              </w:rPr>
              <w:t xml:space="preserve"> </w:t>
            </w:r>
            <w:r w:rsidRPr="002A50B7">
              <w:rPr>
                <w:rFonts w:ascii="Times New Roman" w:hAnsi="Times New Roman" w:cs="Times New Roman"/>
                <w:color w:val="auto"/>
                <w:sz w:val="24"/>
              </w:rPr>
              <w:t>Supporting</w:t>
            </w:r>
            <w:r w:rsidRPr="002A50B7">
              <w:rPr>
                <w:rFonts w:ascii="Times New Roman" w:hAnsi="Times New Roman" w:cs="Times New Roman"/>
                <w:color w:val="auto"/>
                <w:spacing w:val="-15"/>
                <w:sz w:val="24"/>
              </w:rPr>
              <w:t xml:space="preserve"> </w:t>
            </w:r>
            <w:r w:rsidRPr="002A50B7">
              <w:rPr>
                <w:rFonts w:ascii="Times New Roman" w:hAnsi="Times New Roman" w:cs="Times New Roman"/>
                <w:color w:val="auto"/>
                <w:sz w:val="24"/>
              </w:rPr>
              <w:t>Language</w:t>
            </w:r>
            <w:r w:rsidRPr="002A50B7">
              <w:rPr>
                <w:rFonts w:ascii="Times New Roman" w:hAnsi="Times New Roman" w:cs="Times New Roman"/>
                <w:color w:val="auto"/>
                <w:spacing w:val="-13"/>
                <w:sz w:val="24"/>
              </w:rPr>
              <w:t xml:space="preserve"> </w:t>
            </w:r>
            <w:r w:rsidRPr="002A50B7">
              <w:rPr>
                <w:rFonts w:ascii="Times New Roman" w:hAnsi="Times New Roman" w:cs="Times New Roman"/>
                <w:color w:val="auto"/>
                <w:sz w:val="24"/>
              </w:rPr>
              <w:t>Demands</w:t>
            </w:r>
          </w:p>
          <w:p w14:paraId="71F7E2F1" w14:textId="77777777" w:rsidR="00EF6C2E" w:rsidRPr="002A50B7" w:rsidRDefault="00EF6C2E" w:rsidP="009B17A7">
            <w:pPr>
              <w:pStyle w:val="Heading2wide"/>
              <w:spacing w:before="240" w:after="120"/>
              <w:ind w:left="144" w:right="144"/>
              <w:rPr>
                <w:rFonts w:ascii="Times New Roman" w:hAnsi="Times New Roman" w:cs="Times New Roman"/>
                <w:color w:val="auto"/>
                <w:sz w:val="24"/>
                <w:lang w:val="en-US"/>
              </w:rPr>
            </w:pPr>
            <w:r w:rsidRPr="002A50B7">
              <w:rPr>
                <w:rFonts w:ascii="Times New Roman" w:hAnsi="Times New Roman" w:cs="Times New Roman"/>
                <w:color w:val="auto"/>
                <w:sz w:val="24"/>
                <w:lang w:val="en-US"/>
              </w:rPr>
              <w:t xml:space="preserve">PRIMARY SOURCES OF </w:t>
            </w:r>
            <w:r w:rsidRPr="002A50B7">
              <w:rPr>
                <w:rFonts w:ascii="Times New Roman" w:hAnsi="Times New Roman" w:cs="Times New Roman"/>
                <w:color w:val="auto"/>
                <w:sz w:val="24"/>
              </w:rPr>
              <w:t xml:space="preserve">EVIDENCE: Planning </w:t>
            </w:r>
            <w:r w:rsidRPr="002A50B7">
              <w:rPr>
                <w:rFonts w:ascii="Times New Roman" w:hAnsi="Times New Roman" w:cs="Times New Roman"/>
                <w:color w:val="auto"/>
                <w:sz w:val="24"/>
                <w:lang w:val="en-US"/>
              </w:rPr>
              <w:t>C</w:t>
            </w:r>
            <w:r w:rsidRPr="002A50B7">
              <w:rPr>
                <w:rFonts w:ascii="Times New Roman" w:hAnsi="Times New Roman" w:cs="Times New Roman"/>
                <w:color w:val="auto"/>
                <w:sz w:val="24"/>
              </w:rPr>
              <w:t xml:space="preserve">ommentary </w:t>
            </w:r>
            <w:r w:rsidRPr="002A50B7">
              <w:rPr>
                <w:rFonts w:ascii="Times New Roman" w:hAnsi="Times New Roman" w:cs="Times New Roman"/>
                <w:color w:val="auto"/>
                <w:sz w:val="24"/>
                <w:lang w:val="en-US"/>
              </w:rPr>
              <w:t>P</w:t>
            </w:r>
            <w:r w:rsidRPr="002A50B7">
              <w:rPr>
                <w:rFonts w:ascii="Times New Roman" w:hAnsi="Times New Roman" w:cs="Times New Roman"/>
                <w:color w:val="auto"/>
                <w:sz w:val="24"/>
              </w:rPr>
              <w:t>rompt 4</w:t>
            </w:r>
            <w:r w:rsidRPr="002A50B7">
              <w:rPr>
                <w:rFonts w:ascii="Times New Roman" w:hAnsi="Times New Roman" w:cs="Times New Roman"/>
                <w:color w:val="auto"/>
                <w:sz w:val="24"/>
                <w:lang w:val="en-US"/>
              </w:rPr>
              <w:t>a-d; strategic review of Lesson Plan as noted in commentary prompt 4b</w:t>
            </w:r>
          </w:p>
          <w:p w14:paraId="4DCA26E5" w14:textId="77777777" w:rsidR="00EF6C2E" w:rsidRPr="002A50B7" w:rsidRDefault="00EF6C2E" w:rsidP="009B17A7">
            <w:pPr>
              <w:widowControl w:val="0"/>
              <w:autoSpaceDE w:val="0"/>
              <w:autoSpaceDN w:val="0"/>
              <w:adjustRightInd w:val="0"/>
              <w:rPr>
                <w:rFonts w:ascii="Times New Roman" w:hAnsi="Times New Roman"/>
                <w:sz w:val="24"/>
              </w:rPr>
            </w:pPr>
          </w:p>
        </w:tc>
        <w:tc>
          <w:tcPr>
            <w:tcW w:w="630" w:type="dxa"/>
          </w:tcPr>
          <w:p w14:paraId="5F42F608" w14:textId="77777777" w:rsidR="00EF6C2E" w:rsidRPr="002A50B7" w:rsidRDefault="00EF6C2E" w:rsidP="009B17A7">
            <w:pPr>
              <w:widowControl w:val="0"/>
              <w:autoSpaceDE w:val="0"/>
              <w:autoSpaceDN w:val="0"/>
              <w:adjustRightInd w:val="0"/>
              <w:jc w:val="right"/>
              <w:rPr>
                <w:rFonts w:ascii="Times New Roman" w:hAnsi="Times New Roman"/>
                <w:sz w:val="24"/>
              </w:rPr>
            </w:pPr>
            <w:r w:rsidRPr="002A50B7">
              <w:rPr>
                <w:rFonts w:ascii="Times New Roman" w:hAnsi="Times New Roman"/>
                <w:sz w:val="24"/>
              </w:rPr>
              <w:t>18</w:t>
            </w:r>
          </w:p>
        </w:tc>
        <w:tc>
          <w:tcPr>
            <w:tcW w:w="895" w:type="dxa"/>
          </w:tcPr>
          <w:p w14:paraId="26E57EC1" w14:textId="77777777" w:rsidR="00EF6C2E" w:rsidRPr="002A50B7" w:rsidRDefault="00EF6C2E" w:rsidP="009B17A7">
            <w:pPr>
              <w:widowControl w:val="0"/>
              <w:autoSpaceDE w:val="0"/>
              <w:autoSpaceDN w:val="0"/>
              <w:adjustRightInd w:val="0"/>
              <w:jc w:val="right"/>
              <w:rPr>
                <w:rFonts w:ascii="Times New Roman" w:hAnsi="Times New Roman"/>
                <w:sz w:val="24"/>
              </w:rPr>
            </w:pPr>
            <w:r w:rsidRPr="002A50B7">
              <w:rPr>
                <w:rFonts w:ascii="Times New Roman" w:hAnsi="Times New Roman"/>
                <w:sz w:val="24"/>
              </w:rPr>
              <w:t>2.83</w:t>
            </w:r>
          </w:p>
        </w:tc>
      </w:tr>
      <w:tr w:rsidR="00EF6C2E" w:rsidRPr="002A50B7" w14:paraId="168C3A8C" w14:textId="77777777" w:rsidTr="009B17A7">
        <w:trPr>
          <w:trHeight w:val="620"/>
        </w:trPr>
        <w:tc>
          <w:tcPr>
            <w:tcW w:w="7205" w:type="dxa"/>
          </w:tcPr>
          <w:p w14:paraId="22B5D0A6" w14:textId="77777777" w:rsidR="00EF6C2E" w:rsidRPr="002A50B7" w:rsidRDefault="00EF6C2E" w:rsidP="009B17A7">
            <w:pPr>
              <w:pStyle w:val="Heading2wide"/>
              <w:spacing w:before="240" w:after="120"/>
              <w:ind w:left="144" w:right="720"/>
              <w:rPr>
                <w:rFonts w:ascii="Times New Roman" w:hAnsi="Times New Roman" w:cs="Times New Roman"/>
                <w:color w:val="auto"/>
                <w:sz w:val="24"/>
              </w:rPr>
            </w:pPr>
            <w:r w:rsidRPr="002A50B7">
              <w:rPr>
                <w:rFonts w:ascii="Times New Roman" w:hAnsi="Times New Roman" w:cs="Times New Roman"/>
                <w:color w:val="auto"/>
                <w:sz w:val="24"/>
              </w:rPr>
              <w:t>Planning Rubrics - Rubric</w:t>
            </w:r>
            <w:r w:rsidRPr="002A50B7">
              <w:rPr>
                <w:rFonts w:ascii="Times New Roman" w:hAnsi="Times New Roman" w:cs="Times New Roman"/>
                <w:color w:val="auto"/>
                <w:spacing w:val="-9"/>
                <w:sz w:val="24"/>
              </w:rPr>
              <w:t xml:space="preserve"> </w:t>
            </w:r>
            <w:r w:rsidRPr="002A50B7">
              <w:rPr>
                <w:rFonts w:ascii="Times New Roman" w:hAnsi="Times New Roman" w:cs="Times New Roman"/>
                <w:color w:val="auto"/>
                <w:sz w:val="24"/>
              </w:rPr>
              <w:t>5:</w:t>
            </w:r>
            <w:r w:rsidRPr="002A50B7">
              <w:rPr>
                <w:rFonts w:ascii="Times New Roman" w:hAnsi="Times New Roman" w:cs="Times New Roman"/>
                <w:color w:val="auto"/>
                <w:spacing w:val="-2"/>
                <w:sz w:val="24"/>
              </w:rPr>
              <w:t xml:space="preserve"> </w:t>
            </w:r>
            <w:r w:rsidRPr="002A50B7">
              <w:rPr>
                <w:rFonts w:ascii="Times New Roman" w:hAnsi="Times New Roman" w:cs="Times New Roman"/>
                <w:color w:val="auto"/>
                <w:sz w:val="24"/>
              </w:rPr>
              <w:t>Planning</w:t>
            </w:r>
            <w:r w:rsidRPr="002A50B7">
              <w:rPr>
                <w:rFonts w:ascii="Times New Roman" w:hAnsi="Times New Roman" w:cs="Times New Roman"/>
                <w:color w:val="auto"/>
                <w:spacing w:val="-12"/>
                <w:sz w:val="24"/>
              </w:rPr>
              <w:t xml:space="preserve"> </w:t>
            </w:r>
            <w:r w:rsidRPr="002A50B7">
              <w:rPr>
                <w:rFonts w:ascii="Times New Roman" w:hAnsi="Times New Roman" w:cs="Times New Roman"/>
                <w:color w:val="auto"/>
                <w:sz w:val="24"/>
              </w:rPr>
              <w:t>Assessments</w:t>
            </w:r>
            <w:r w:rsidRPr="002A50B7">
              <w:rPr>
                <w:rFonts w:ascii="Times New Roman" w:hAnsi="Times New Roman" w:cs="Times New Roman"/>
                <w:color w:val="auto"/>
                <w:spacing w:val="-18"/>
                <w:sz w:val="24"/>
              </w:rPr>
              <w:t xml:space="preserve"> </w:t>
            </w:r>
            <w:r w:rsidRPr="002A50B7">
              <w:rPr>
                <w:rFonts w:ascii="Times New Roman" w:hAnsi="Times New Roman" w:cs="Times New Roman"/>
                <w:color w:val="auto"/>
                <w:sz w:val="24"/>
              </w:rPr>
              <w:t>to</w:t>
            </w:r>
            <w:r w:rsidRPr="002A50B7">
              <w:rPr>
                <w:rFonts w:ascii="Times New Roman" w:hAnsi="Times New Roman" w:cs="Times New Roman"/>
                <w:color w:val="auto"/>
                <w:spacing w:val="-3"/>
                <w:sz w:val="24"/>
              </w:rPr>
              <w:t xml:space="preserve"> </w:t>
            </w:r>
            <w:r w:rsidRPr="002A50B7">
              <w:rPr>
                <w:rFonts w:ascii="Times New Roman" w:hAnsi="Times New Roman" w:cs="Times New Roman"/>
                <w:color w:val="auto"/>
                <w:sz w:val="24"/>
              </w:rPr>
              <w:t>Monitor</w:t>
            </w:r>
            <w:r w:rsidRPr="002A50B7">
              <w:rPr>
                <w:rFonts w:ascii="Times New Roman" w:hAnsi="Times New Roman" w:cs="Times New Roman"/>
                <w:color w:val="auto"/>
                <w:spacing w:val="-10"/>
                <w:sz w:val="24"/>
              </w:rPr>
              <w:t xml:space="preserve"> </w:t>
            </w:r>
            <w:r w:rsidRPr="002A50B7">
              <w:rPr>
                <w:rFonts w:ascii="Times New Roman" w:hAnsi="Times New Roman" w:cs="Times New Roman"/>
                <w:color w:val="auto"/>
                <w:sz w:val="24"/>
              </w:rPr>
              <w:t>and</w:t>
            </w:r>
            <w:r w:rsidRPr="002A50B7">
              <w:rPr>
                <w:rFonts w:ascii="Times New Roman" w:hAnsi="Times New Roman" w:cs="Times New Roman"/>
                <w:color w:val="auto"/>
                <w:spacing w:val="-5"/>
                <w:sz w:val="24"/>
              </w:rPr>
              <w:t xml:space="preserve"> </w:t>
            </w:r>
            <w:r w:rsidRPr="002A50B7">
              <w:rPr>
                <w:rFonts w:ascii="Times New Roman" w:hAnsi="Times New Roman" w:cs="Times New Roman"/>
                <w:color w:val="auto"/>
                <w:sz w:val="24"/>
              </w:rPr>
              <w:t>Support</w:t>
            </w:r>
            <w:r w:rsidRPr="002A50B7">
              <w:rPr>
                <w:rFonts w:ascii="Times New Roman" w:hAnsi="Times New Roman" w:cs="Times New Roman"/>
                <w:color w:val="auto"/>
                <w:spacing w:val="-11"/>
                <w:sz w:val="24"/>
              </w:rPr>
              <w:t xml:space="preserve"> </w:t>
            </w:r>
            <w:r w:rsidRPr="002A50B7">
              <w:rPr>
                <w:rFonts w:ascii="Times New Roman" w:hAnsi="Times New Roman" w:cs="Times New Roman"/>
                <w:color w:val="auto"/>
                <w:sz w:val="24"/>
              </w:rPr>
              <w:t>Student</w:t>
            </w:r>
            <w:r w:rsidRPr="002A50B7">
              <w:rPr>
                <w:rFonts w:ascii="Times New Roman" w:hAnsi="Times New Roman" w:cs="Times New Roman"/>
                <w:color w:val="auto"/>
                <w:spacing w:val="-10"/>
                <w:sz w:val="24"/>
              </w:rPr>
              <w:t xml:space="preserve"> </w:t>
            </w:r>
            <w:r w:rsidRPr="002A50B7">
              <w:rPr>
                <w:rFonts w:ascii="Times New Roman" w:hAnsi="Times New Roman" w:cs="Times New Roman"/>
                <w:color w:val="auto"/>
                <w:sz w:val="24"/>
              </w:rPr>
              <w:t>Learning</w:t>
            </w:r>
          </w:p>
          <w:p w14:paraId="34122F78" w14:textId="77777777" w:rsidR="00EF6C2E" w:rsidRPr="002A50B7" w:rsidRDefault="00EF6C2E" w:rsidP="009B17A7">
            <w:pPr>
              <w:pStyle w:val="Heading2wide"/>
              <w:spacing w:before="240" w:after="120"/>
              <w:ind w:left="144" w:right="720"/>
              <w:rPr>
                <w:rFonts w:ascii="Times New Roman" w:hAnsi="Times New Roman" w:cs="Times New Roman"/>
                <w:color w:val="auto"/>
                <w:sz w:val="24"/>
              </w:rPr>
            </w:pPr>
            <w:r w:rsidRPr="002A50B7">
              <w:rPr>
                <w:rFonts w:ascii="Times New Roman" w:hAnsi="Times New Roman" w:cs="Times New Roman"/>
                <w:color w:val="auto"/>
                <w:sz w:val="24"/>
                <w:lang w:val="en-US"/>
              </w:rPr>
              <w:t xml:space="preserve">PRIMARY SOURCES OF </w:t>
            </w:r>
            <w:r w:rsidRPr="002A50B7">
              <w:rPr>
                <w:rFonts w:ascii="Times New Roman" w:hAnsi="Times New Roman" w:cs="Times New Roman"/>
                <w:color w:val="auto"/>
                <w:sz w:val="24"/>
              </w:rPr>
              <w:t>EVIDENCE:</w:t>
            </w:r>
            <w:r w:rsidRPr="002A50B7">
              <w:rPr>
                <w:rFonts w:ascii="Times New Roman" w:hAnsi="Times New Roman" w:cs="Times New Roman"/>
                <w:color w:val="auto"/>
                <w:sz w:val="24"/>
                <w:lang w:val="en-US"/>
              </w:rPr>
              <w:t xml:space="preserve"> Context for Learning Information (required supports, modifications, or accommodations for assessments); </w:t>
            </w:r>
            <w:r w:rsidRPr="002A50B7">
              <w:rPr>
                <w:rFonts w:ascii="Times New Roman" w:hAnsi="Times New Roman" w:cs="Times New Roman"/>
                <w:color w:val="auto"/>
                <w:sz w:val="24"/>
              </w:rPr>
              <w:t xml:space="preserve">Planning </w:t>
            </w:r>
            <w:r w:rsidRPr="002A50B7">
              <w:rPr>
                <w:rFonts w:ascii="Times New Roman" w:hAnsi="Times New Roman" w:cs="Times New Roman"/>
                <w:color w:val="auto"/>
                <w:sz w:val="24"/>
                <w:lang w:val="en-US"/>
              </w:rPr>
              <w:t>C</w:t>
            </w:r>
            <w:r w:rsidRPr="002A50B7">
              <w:rPr>
                <w:rFonts w:ascii="Times New Roman" w:hAnsi="Times New Roman" w:cs="Times New Roman"/>
                <w:color w:val="auto"/>
                <w:sz w:val="24"/>
              </w:rPr>
              <w:t xml:space="preserve">ommentary </w:t>
            </w:r>
            <w:r w:rsidRPr="002A50B7">
              <w:rPr>
                <w:rFonts w:ascii="Times New Roman" w:hAnsi="Times New Roman" w:cs="Times New Roman"/>
                <w:color w:val="auto"/>
                <w:sz w:val="24"/>
                <w:lang w:val="en-US"/>
              </w:rPr>
              <w:t>P</w:t>
            </w:r>
            <w:r w:rsidRPr="002A50B7">
              <w:rPr>
                <w:rFonts w:ascii="Times New Roman" w:hAnsi="Times New Roman" w:cs="Times New Roman"/>
                <w:color w:val="auto"/>
                <w:sz w:val="24"/>
              </w:rPr>
              <w:t>rompt 5</w:t>
            </w:r>
            <w:r w:rsidRPr="002A50B7">
              <w:rPr>
                <w:rFonts w:ascii="Times New Roman" w:hAnsi="Times New Roman" w:cs="Times New Roman"/>
                <w:color w:val="auto"/>
                <w:sz w:val="24"/>
                <w:lang w:val="en-US"/>
              </w:rPr>
              <w:t>;</w:t>
            </w:r>
            <w:r w:rsidRPr="002A50B7">
              <w:rPr>
                <w:rFonts w:ascii="Times New Roman" w:hAnsi="Times New Roman" w:cs="Times New Roman"/>
                <w:color w:val="auto"/>
                <w:sz w:val="24"/>
              </w:rPr>
              <w:t xml:space="preserve"> assessment</w:t>
            </w:r>
            <w:r w:rsidRPr="002A50B7">
              <w:rPr>
                <w:rFonts w:ascii="Times New Roman" w:hAnsi="Times New Roman" w:cs="Times New Roman"/>
                <w:color w:val="auto"/>
                <w:sz w:val="24"/>
                <w:lang w:val="en-US"/>
              </w:rPr>
              <w:t xml:space="preserve"> materials; strategic review of Lesson Plans</w:t>
            </w:r>
          </w:p>
          <w:p w14:paraId="38B3ED27" w14:textId="77777777" w:rsidR="00EF6C2E" w:rsidRPr="002A50B7" w:rsidRDefault="00EF6C2E" w:rsidP="009B17A7">
            <w:pPr>
              <w:widowControl w:val="0"/>
              <w:autoSpaceDE w:val="0"/>
              <w:autoSpaceDN w:val="0"/>
              <w:adjustRightInd w:val="0"/>
              <w:rPr>
                <w:rFonts w:ascii="Times New Roman" w:hAnsi="Times New Roman"/>
                <w:sz w:val="24"/>
              </w:rPr>
            </w:pPr>
          </w:p>
        </w:tc>
        <w:tc>
          <w:tcPr>
            <w:tcW w:w="630" w:type="dxa"/>
          </w:tcPr>
          <w:p w14:paraId="699DD3D9" w14:textId="77777777" w:rsidR="00EF6C2E" w:rsidRPr="002A50B7" w:rsidRDefault="00EF6C2E" w:rsidP="009B17A7">
            <w:pPr>
              <w:widowControl w:val="0"/>
              <w:autoSpaceDE w:val="0"/>
              <w:autoSpaceDN w:val="0"/>
              <w:adjustRightInd w:val="0"/>
              <w:jc w:val="right"/>
              <w:rPr>
                <w:rFonts w:ascii="Times New Roman" w:hAnsi="Times New Roman"/>
                <w:sz w:val="24"/>
              </w:rPr>
            </w:pPr>
            <w:r w:rsidRPr="002A50B7">
              <w:rPr>
                <w:rFonts w:ascii="Times New Roman" w:hAnsi="Times New Roman"/>
                <w:sz w:val="24"/>
              </w:rPr>
              <w:t>18</w:t>
            </w:r>
          </w:p>
        </w:tc>
        <w:tc>
          <w:tcPr>
            <w:tcW w:w="895" w:type="dxa"/>
          </w:tcPr>
          <w:p w14:paraId="66D50E23" w14:textId="77777777" w:rsidR="00EF6C2E" w:rsidRPr="002A50B7" w:rsidRDefault="00EF6C2E" w:rsidP="009B17A7">
            <w:pPr>
              <w:widowControl w:val="0"/>
              <w:autoSpaceDE w:val="0"/>
              <w:autoSpaceDN w:val="0"/>
              <w:adjustRightInd w:val="0"/>
              <w:jc w:val="right"/>
              <w:rPr>
                <w:rFonts w:ascii="Times New Roman" w:hAnsi="Times New Roman"/>
                <w:sz w:val="24"/>
              </w:rPr>
            </w:pPr>
            <w:r w:rsidRPr="002A50B7">
              <w:rPr>
                <w:rFonts w:ascii="Times New Roman" w:hAnsi="Times New Roman"/>
                <w:sz w:val="24"/>
              </w:rPr>
              <w:t>2.81</w:t>
            </w:r>
          </w:p>
        </w:tc>
      </w:tr>
      <w:tr w:rsidR="00EF6C2E" w:rsidRPr="002A50B7" w14:paraId="0A150CFB" w14:textId="77777777" w:rsidTr="009B17A7">
        <w:trPr>
          <w:trHeight w:val="1070"/>
        </w:trPr>
        <w:tc>
          <w:tcPr>
            <w:tcW w:w="7205" w:type="dxa"/>
          </w:tcPr>
          <w:p w14:paraId="1CAEBA91" w14:textId="77777777" w:rsidR="00EF6C2E" w:rsidRPr="002A50B7" w:rsidRDefault="00EF6C2E" w:rsidP="009B17A7">
            <w:pPr>
              <w:pStyle w:val="Heading2wide"/>
              <w:spacing w:before="240" w:after="120"/>
              <w:ind w:left="144" w:right="576"/>
              <w:rPr>
                <w:rFonts w:ascii="Times New Roman" w:hAnsi="Times New Roman" w:cs="Times New Roman"/>
                <w:color w:val="auto"/>
                <w:sz w:val="24"/>
              </w:rPr>
            </w:pPr>
            <w:r w:rsidRPr="002A50B7">
              <w:rPr>
                <w:rFonts w:ascii="Times New Roman" w:hAnsi="Times New Roman" w:cs="Times New Roman"/>
                <w:color w:val="auto"/>
                <w:position w:val="-1"/>
                <w:sz w:val="24"/>
              </w:rPr>
              <w:t>Instruction</w:t>
            </w:r>
            <w:r w:rsidRPr="002A50B7">
              <w:rPr>
                <w:rFonts w:ascii="Times New Roman" w:hAnsi="Times New Roman" w:cs="Times New Roman"/>
                <w:color w:val="auto"/>
                <w:spacing w:val="-19"/>
                <w:position w:val="-1"/>
                <w:sz w:val="24"/>
              </w:rPr>
              <w:t xml:space="preserve"> </w:t>
            </w:r>
            <w:r w:rsidRPr="002A50B7">
              <w:rPr>
                <w:rFonts w:ascii="Times New Roman" w:hAnsi="Times New Roman" w:cs="Times New Roman"/>
                <w:color w:val="auto"/>
                <w:position w:val="-1"/>
                <w:sz w:val="24"/>
              </w:rPr>
              <w:t xml:space="preserve">Rubrics - </w:t>
            </w:r>
            <w:r w:rsidRPr="002A50B7">
              <w:rPr>
                <w:rFonts w:ascii="Times New Roman" w:hAnsi="Times New Roman" w:cs="Times New Roman"/>
                <w:color w:val="auto"/>
                <w:sz w:val="24"/>
              </w:rPr>
              <w:t>Rubric</w:t>
            </w:r>
            <w:r w:rsidRPr="002A50B7">
              <w:rPr>
                <w:rFonts w:ascii="Times New Roman" w:hAnsi="Times New Roman" w:cs="Times New Roman"/>
                <w:color w:val="auto"/>
                <w:spacing w:val="-9"/>
                <w:sz w:val="24"/>
              </w:rPr>
              <w:t xml:space="preserve"> </w:t>
            </w:r>
            <w:r w:rsidRPr="002A50B7">
              <w:rPr>
                <w:rFonts w:ascii="Times New Roman" w:hAnsi="Times New Roman" w:cs="Times New Roman"/>
                <w:color w:val="auto"/>
                <w:sz w:val="24"/>
              </w:rPr>
              <w:t>6:</w:t>
            </w:r>
            <w:r w:rsidRPr="002A50B7">
              <w:rPr>
                <w:rFonts w:ascii="Times New Roman" w:hAnsi="Times New Roman" w:cs="Times New Roman"/>
                <w:color w:val="auto"/>
                <w:spacing w:val="-2"/>
                <w:sz w:val="24"/>
              </w:rPr>
              <w:t xml:space="preserve"> </w:t>
            </w:r>
            <w:r w:rsidRPr="002A50B7">
              <w:rPr>
                <w:rFonts w:ascii="Times New Roman" w:hAnsi="Times New Roman" w:cs="Times New Roman"/>
                <w:color w:val="auto"/>
                <w:sz w:val="24"/>
              </w:rPr>
              <w:t>Learning</w:t>
            </w:r>
            <w:r w:rsidRPr="002A50B7">
              <w:rPr>
                <w:rFonts w:ascii="Times New Roman" w:hAnsi="Times New Roman" w:cs="Times New Roman"/>
                <w:color w:val="auto"/>
                <w:spacing w:val="-12"/>
                <w:sz w:val="24"/>
              </w:rPr>
              <w:t xml:space="preserve"> </w:t>
            </w:r>
            <w:r w:rsidRPr="002A50B7">
              <w:rPr>
                <w:rFonts w:ascii="Times New Roman" w:hAnsi="Times New Roman" w:cs="Times New Roman"/>
                <w:color w:val="auto"/>
                <w:sz w:val="24"/>
              </w:rPr>
              <w:t>Environment</w:t>
            </w:r>
          </w:p>
          <w:p w14:paraId="76381EDE" w14:textId="77777777" w:rsidR="00EF6C2E" w:rsidRPr="002A50B7" w:rsidRDefault="00EF6C2E" w:rsidP="009B17A7">
            <w:pPr>
              <w:pStyle w:val="Heading2wide"/>
              <w:spacing w:before="240" w:after="120"/>
              <w:ind w:left="144" w:right="576"/>
              <w:rPr>
                <w:rFonts w:ascii="Times New Roman" w:hAnsi="Times New Roman" w:cs="Times New Roman"/>
                <w:color w:val="auto"/>
                <w:sz w:val="24"/>
              </w:rPr>
            </w:pPr>
            <w:r w:rsidRPr="002A50B7">
              <w:rPr>
                <w:rFonts w:ascii="Times New Roman" w:hAnsi="Times New Roman" w:cs="Times New Roman"/>
                <w:color w:val="auto"/>
                <w:sz w:val="24"/>
                <w:lang w:val="en-US"/>
              </w:rPr>
              <w:t xml:space="preserve">PRIMARY SOURCES OF </w:t>
            </w:r>
            <w:r w:rsidRPr="002A50B7">
              <w:rPr>
                <w:rFonts w:ascii="Times New Roman" w:hAnsi="Times New Roman" w:cs="Times New Roman"/>
                <w:color w:val="auto"/>
                <w:sz w:val="24"/>
              </w:rPr>
              <w:t xml:space="preserve">EVIDENCE: Video </w:t>
            </w:r>
            <w:r w:rsidRPr="002A50B7">
              <w:rPr>
                <w:rFonts w:ascii="Times New Roman" w:hAnsi="Times New Roman" w:cs="Times New Roman"/>
                <w:color w:val="auto"/>
                <w:sz w:val="24"/>
                <w:lang w:val="en-US"/>
              </w:rPr>
              <w:t>C</w:t>
            </w:r>
            <w:r w:rsidRPr="002A50B7">
              <w:rPr>
                <w:rFonts w:ascii="Times New Roman" w:hAnsi="Times New Roman" w:cs="Times New Roman"/>
                <w:color w:val="auto"/>
                <w:sz w:val="24"/>
              </w:rPr>
              <w:t>lip(s)</w:t>
            </w:r>
            <w:r w:rsidRPr="002A50B7">
              <w:rPr>
                <w:rFonts w:ascii="Times New Roman" w:hAnsi="Times New Roman" w:cs="Times New Roman"/>
                <w:color w:val="auto"/>
                <w:sz w:val="24"/>
                <w:lang w:val="en-US"/>
              </w:rPr>
              <w:t xml:space="preserve"> 1 and/or 2;</w:t>
            </w:r>
            <w:r w:rsidRPr="002A50B7">
              <w:rPr>
                <w:rFonts w:ascii="Times New Roman" w:hAnsi="Times New Roman" w:cs="Times New Roman"/>
                <w:color w:val="auto"/>
                <w:sz w:val="24"/>
              </w:rPr>
              <w:t xml:space="preserve"> Instruction </w:t>
            </w:r>
            <w:r w:rsidRPr="002A50B7">
              <w:rPr>
                <w:rFonts w:ascii="Times New Roman" w:hAnsi="Times New Roman" w:cs="Times New Roman"/>
                <w:color w:val="auto"/>
                <w:sz w:val="24"/>
                <w:lang w:val="en-US"/>
              </w:rPr>
              <w:t>C</w:t>
            </w:r>
            <w:r w:rsidRPr="002A50B7">
              <w:rPr>
                <w:rFonts w:ascii="Times New Roman" w:hAnsi="Times New Roman" w:cs="Times New Roman"/>
                <w:color w:val="auto"/>
                <w:sz w:val="24"/>
              </w:rPr>
              <w:t xml:space="preserve">ommentary </w:t>
            </w:r>
            <w:r w:rsidRPr="002A50B7">
              <w:rPr>
                <w:rFonts w:ascii="Times New Roman" w:hAnsi="Times New Roman" w:cs="Times New Roman"/>
                <w:color w:val="auto"/>
                <w:sz w:val="24"/>
                <w:lang w:val="en-US"/>
              </w:rPr>
              <w:t>P</w:t>
            </w:r>
            <w:r w:rsidRPr="002A50B7">
              <w:rPr>
                <w:rFonts w:ascii="Times New Roman" w:hAnsi="Times New Roman" w:cs="Times New Roman"/>
                <w:color w:val="auto"/>
                <w:sz w:val="24"/>
              </w:rPr>
              <w:t>rompt 2</w:t>
            </w:r>
          </w:p>
          <w:p w14:paraId="620534D0" w14:textId="77777777" w:rsidR="00EF6C2E" w:rsidRPr="002A50B7" w:rsidRDefault="00EF6C2E" w:rsidP="009B17A7">
            <w:pPr>
              <w:widowControl w:val="0"/>
              <w:autoSpaceDE w:val="0"/>
              <w:autoSpaceDN w:val="0"/>
              <w:adjustRightInd w:val="0"/>
              <w:rPr>
                <w:rFonts w:ascii="Times New Roman" w:hAnsi="Times New Roman"/>
                <w:sz w:val="24"/>
              </w:rPr>
            </w:pPr>
          </w:p>
        </w:tc>
        <w:tc>
          <w:tcPr>
            <w:tcW w:w="630" w:type="dxa"/>
          </w:tcPr>
          <w:p w14:paraId="7CC80DAA" w14:textId="77777777" w:rsidR="00EF6C2E" w:rsidRPr="002A50B7" w:rsidRDefault="00EF6C2E" w:rsidP="009B17A7">
            <w:pPr>
              <w:widowControl w:val="0"/>
              <w:autoSpaceDE w:val="0"/>
              <w:autoSpaceDN w:val="0"/>
              <w:adjustRightInd w:val="0"/>
              <w:jc w:val="right"/>
              <w:rPr>
                <w:rFonts w:ascii="Times New Roman" w:hAnsi="Times New Roman"/>
                <w:sz w:val="24"/>
              </w:rPr>
            </w:pPr>
            <w:r w:rsidRPr="002A50B7">
              <w:rPr>
                <w:rFonts w:ascii="Times New Roman" w:hAnsi="Times New Roman"/>
                <w:sz w:val="24"/>
              </w:rPr>
              <w:t>18</w:t>
            </w:r>
          </w:p>
        </w:tc>
        <w:tc>
          <w:tcPr>
            <w:tcW w:w="895" w:type="dxa"/>
          </w:tcPr>
          <w:p w14:paraId="21C12780" w14:textId="77777777" w:rsidR="00EF6C2E" w:rsidRPr="002A50B7" w:rsidRDefault="00EF6C2E" w:rsidP="009B17A7">
            <w:pPr>
              <w:widowControl w:val="0"/>
              <w:autoSpaceDE w:val="0"/>
              <w:autoSpaceDN w:val="0"/>
              <w:adjustRightInd w:val="0"/>
              <w:jc w:val="right"/>
              <w:rPr>
                <w:rFonts w:ascii="Times New Roman" w:hAnsi="Times New Roman"/>
                <w:sz w:val="24"/>
              </w:rPr>
            </w:pPr>
            <w:r w:rsidRPr="002A50B7">
              <w:rPr>
                <w:rFonts w:ascii="Times New Roman" w:hAnsi="Times New Roman"/>
                <w:sz w:val="24"/>
              </w:rPr>
              <w:t>3.06</w:t>
            </w:r>
          </w:p>
        </w:tc>
      </w:tr>
      <w:tr w:rsidR="00EF6C2E" w:rsidRPr="002A50B7" w14:paraId="744C9072" w14:textId="77777777" w:rsidTr="009B17A7">
        <w:trPr>
          <w:trHeight w:val="620"/>
        </w:trPr>
        <w:tc>
          <w:tcPr>
            <w:tcW w:w="7205" w:type="dxa"/>
          </w:tcPr>
          <w:p w14:paraId="649FA47E" w14:textId="77777777" w:rsidR="00EF6C2E" w:rsidRPr="002A50B7" w:rsidRDefault="00EF6C2E" w:rsidP="009B17A7">
            <w:pPr>
              <w:pStyle w:val="Heading2wide"/>
              <w:spacing w:before="240" w:after="120"/>
              <w:ind w:left="144" w:right="144"/>
              <w:rPr>
                <w:rFonts w:ascii="Times New Roman" w:hAnsi="Times New Roman" w:cs="Times New Roman"/>
                <w:color w:val="auto"/>
                <w:sz w:val="24"/>
              </w:rPr>
            </w:pPr>
            <w:r w:rsidRPr="002A50B7">
              <w:rPr>
                <w:rFonts w:ascii="Times New Roman" w:hAnsi="Times New Roman" w:cs="Times New Roman"/>
                <w:color w:val="auto"/>
                <w:sz w:val="24"/>
              </w:rPr>
              <w:t>Instruction Rubrics - Rubric</w:t>
            </w:r>
            <w:r w:rsidRPr="002A50B7">
              <w:rPr>
                <w:rFonts w:ascii="Times New Roman" w:hAnsi="Times New Roman" w:cs="Times New Roman"/>
                <w:color w:val="auto"/>
                <w:spacing w:val="-9"/>
                <w:sz w:val="24"/>
              </w:rPr>
              <w:t xml:space="preserve"> </w:t>
            </w:r>
            <w:r w:rsidRPr="002A50B7">
              <w:rPr>
                <w:rFonts w:ascii="Times New Roman" w:hAnsi="Times New Roman" w:cs="Times New Roman"/>
                <w:color w:val="auto"/>
                <w:sz w:val="24"/>
              </w:rPr>
              <w:t>7:</w:t>
            </w:r>
            <w:r w:rsidRPr="002A50B7">
              <w:rPr>
                <w:rFonts w:ascii="Times New Roman" w:hAnsi="Times New Roman" w:cs="Times New Roman"/>
                <w:color w:val="auto"/>
                <w:spacing w:val="-2"/>
                <w:sz w:val="24"/>
              </w:rPr>
              <w:t xml:space="preserve"> </w:t>
            </w:r>
            <w:r w:rsidRPr="002A50B7">
              <w:rPr>
                <w:rFonts w:ascii="Times New Roman" w:hAnsi="Times New Roman" w:cs="Times New Roman"/>
                <w:color w:val="auto"/>
                <w:sz w:val="24"/>
              </w:rPr>
              <w:t>Engaging</w:t>
            </w:r>
            <w:r w:rsidRPr="002A50B7">
              <w:rPr>
                <w:rFonts w:ascii="Times New Roman" w:hAnsi="Times New Roman" w:cs="Times New Roman"/>
                <w:color w:val="auto"/>
                <w:spacing w:val="-13"/>
                <w:sz w:val="24"/>
              </w:rPr>
              <w:t xml:space="preserve"> </w:t>
            </w:r>
            <w:r w:rsidRPr="002A50B7">
              <w:rPr>
                <w:rFonts w:ascii="Times New Roman" w:hAnsi="Times New Roman" w:cs="Times New Roman"/>
                <w:color w:val="auto"/>
                <w:sz w:val="24"/>
              </w:rPr>
              <w:t>Students</w:t>
            </w:r>
            <w:r w:rsidRPr="002A50B7">
              <w:rPr>
                <w:rFonts w:ascii="Times New Roman" w:hAnsi="Times New Roman" w:cs="Times New Roman"/>
                <w:color w:val="auto"/>
                <w:spacing w:val="-12"/>
                <w:sz w:val="24"/>
              </w:rPr>
              <w:t xml:space="preserve"> </w:t>
            </w:r>
            <w:r w:rsidRPr="002A50B7">
              <w:rPr>
                <w:rFonts w:ascii="Times New Roman" w:hAnsi="Times New Roman" w:cs="Times New Roman"/>
                <w:color w:val="auto"/>
                <w:sz w:val="24"/>
              </w:rPr>
              <w:t>in</w:t>
            </w:r>
            <w:r w:rsidRPr="002A50B7">
              <w:rPr>
                <w:rFonts w:ascii="Times New Roman" w:hAnsi="Times New Roman" w:cs="Times New Roman"/>
                <w:color w:val="auto"/>
                <w:spacing w:val="-2"/>
                <w:sz w:val="24"/>
              </w:rPr>
              <w:t xml:space="preserve"> </w:t>
            </w:r>
            <w:r w:rsidRPr="002A50B7">
              <w:rPr>
                <w:rFonts w:ascii="Times New Roman" w:hAnsi="Times New Roman" w:cs="Times New Roman"/>
                <w:color w:val="auto"/>
                <w:sz w:val="24"/>
              </w:rPr>
              <w:t>Learning</w:t>
            </w:r>
          </w:p>
          <w:p w14:paraId="5B764F29" w14:textId="77777777" w:rsidR="00EF6C2E" w:rsidRPr="002A50B7" w:rsidRDefault="00EF6C2E" w:rsidP="009B17A7">
            <w:pPr>
              <w:pStyle w:val="Heading2wide"/>
              <w:spacing w:before="240" w:after="120"/>
              <w:ind w:left="144" w:right="144"/>
              <w:rPr>
                <w:rFonts w:ascii="Times New Roman" w:hAnsi="Times New Roman" w:cs="Times New Roman"/>
                <w:color w:val="auto"/>
                <w:sz w:val="24"/>
              </w:rPr>
            </w:pPr>
            <w:r w:rsidRPr="002A50B7">
              <w:rPr>
                <w:rFonts w:ascii="Times New Roman" w:hAnsi="Times New Roman" w:cs="Times New Roman"/>
                <w:color w:val="auto"/>
                <w:sz w:val="24"/>
                <w:lang w:val="en-US"/>
              </w:rPr>
              <w:t xml:space="preserve">PRIMARY SOURCES OF </w:t>
            </w:r>
            <w:r w:rsidRPr="002A50B7">
              <w:rPr>
                <w:rFonts w:ascii="Times New Roman" w:hAnsi="Times New Roman" w:cs="Times New Roman"/>
                <w:color w:val="auto"/>
                <w:sz w:val="24"/>
              </w:rPr>
              <w:t xml:space="preserve">EVIDENCE: Video </w:t>
            </w:r>
            <w:r w:rsidRPr="002A50B7">
              <w:rPr>
                <w:rFonts w:ascii="Times New Roman" w:hAnsi="Times New Roman" w:cs="Times New Roman"/>
                <w:color w:val="auto"/>
                <w:sz w:val="24"/>
                <w:lang w:val="en-US"/>
              </w:rPr>
              <w:t>C</w:t>
            </w:r>
            <w:r w:rsidRPr="002A50B7">
              <w:rPr>
                <w:rFonts w:ascii="Times New Roman" w:hAnsi="Times New Roman" w:cs="Times New Roman"/>
                <w:color w:val="auto"/>
                <w:sz w:val="24"/>
              </w:rPr>
              <w:t>lip(s)</w:t>
            </w:r>
            <w:r w:rsidRPr="002A50B7">
              <w:rPr>
                <w:rFonts w:ascii="Times New Roman" w:hAnsi="Times New Roman" w:cs="Times New Roman"/>
                <w:color w:val="auto"/>
                <w:sz w:val="24"/>
                <w:lang w:val="en-US"/>
              </w:rPr>
              <w:t xml:space="preserve"> 1 and/or 2;</w:t>
            </w:r>
            <w:r w:rsidRPr="002A50B7">
              <w:rPr>
                <w:rFonts w:ascii="Times New Roman" w:hAnsi="Times New Roman" w:cs="Times New Roman"/>
                <w:color w:val="auto"/>
                <w:sz w:val="24"/>
              </w:rPr>
              <w:t xml:space="preserve"> </w:t>
            </w:r>
            <w:r w:rsidRPr="002A50B7">
              <w:rPr>
                <w:rFonts w:ascii="Times New Roman" w:hAnsi="Times New Roman" w:cs="Times New Roman"/>
                <w:color w:val="auto"/>
                <w:sz w:val="24"/>
                <w:lang w:val="en-US"/>
              </w:rPr>
              <w:t>I</w:t>
            </w:r>
            <w:r w:rsidRPr="002A50B7">
              <w:rPr>
                <w:rFonts w:ascii="Times New Roman" w:hAnsi="Times New Roman" w:cs="Times New Roman"/>
                <w:color w:val="auto"/>
                <w:sz w:val="24"/>
              </w:rPr>
              <w:t xml:space="preserve">nstruction </w:t>
            </w:r>
            <w:r w:rsidRPr="002A50B7">
              <w:rPr>
                <w:rFonts w:ascii="Times New Roman" w:hAnsi="Times New Roman" w:cs="Times New Roman"/>
                <w:color w:val="auto"/>
                <w:sz w:val="24"/>
                <w:lang w:val="en-US"/>
              </w:rPr>
              <w:t>C</w:t>
            </w:r>
            <w:r w:rsidRPr="002A50B7">
              <w:rPr>
                <w:rFonts w:ascii="Times New Roman" w:hAnsi="Times New Roman" w:cs="Times New Roman"/>
                <w:color w:val="auto"/>
                <w:sz w:val="24"/>
              </w:rPr>
              <w:t xml:space="preserve">ommentary </w:t>
            </w:r>
            <w:r w:rsidRPr="002A50B7">
              <w:rPr>
                <w:rFonts w:ascii="Times New Roman" w:hAnsi="Times New Roman" w:cs="Times New Roman"/>
                <w:color w:val="auto"/>
                <w:sz w:val="24"/>
                <w:lang w:val="en-US"/>
              </w:rPr>
              <w:t>P</w:t>
            </w:r>
            <w:r w:rsidRPr="002A50B7">
              <w:rPr>
                <w:rFonts w:ascii="Times New Roman" w:hAnsi="Times New Roman" w:cs="Times New Roman"/>
                <w:color w:val="auto"/>
                <w:sz w:val="24"/>
              </w:rPr>
              <w:t>rompt 3</w:t>
            </w:r>
          </w:p>
        </w:tc>
        <w:tc>
          <w:tcPr>
            <w:tcW w:w="630" w:type="dxa"/>
          </w:tcPr>
          <w:p w14:paraId="64C7CC7B" w14:textId="77777777" w:rsidR="00EF6C2E" w:rsidRPr="002A50B7" w:rsidRDefault="00EF6C2E" w:rsidP="009B17A7">
            <w:pPr>
              <w:widowControl w:val="0"/>
              <w:autoSpaceDE w:val="0"/>
              <w:autoSpaceDN w:val="0"/>
              <w:adjustRightInd w:val="0"/>
              <w:jc w:val="right"/>
              <w:rPr>
                <w:rFonts w:ascii="Times New Roman" w:hAnsi="Times New Roman"/>
                <w:sz w:val="24"/>
              </w:rPr>
            </w:pPr>
            <w:r w:rsidRPr="002A50B7">
              <w:rPr>
                <w:rFonts w:ascii="Times New Roman" w:hAnsi="Times New Roman"/>
                <w:sz w:val="24"/>
              </w:rPr>
              <w:t>18</w:t>
            </w:r>
          </w:p>
        </w:tc>
        <w:tc>
          <w:tcPr>
            <w:tcW w:w="895" w:type="dxa"/>
          </w:tcPr>
          <w:p w14:paraId="5FFC7CCC" w14:textId="77777777" w:rsidR="00EF6C2E" w:rsidRPr="002A50B7" w:rsidRDefault="00EF6C2E" w:rsidP="009B17A7">
            <w:pPr>
              <w:widowControl w:val="0"/>
              <w:autoSpaceDE w:val="0"/>
              <w:autoSpaceDN w:val="0"/>
              <w:adjustRightInd w:val="0"/>
              <w:jc w:val="right"/>
              <w:rPr>
                <w:rFonts w:ascii="Times New Roman" w:hAnsi="Times New Roman"/>
                <w:sz w:val="24"/>
              </w:rPr>
            </w:pPr>
            <w:r w:rsidRPr="002A50B7">
              <w:rPr>
                <w:rFonts w:ascii="Times New Roman" w:hAnsi="Times New Roman"/>
                <w:sz w:val="24"/>
              </w:rPr>
              <w:t>2.78</w:t>
            </w:r>
          </w:p>
        </w:tc>
      </w:tr>
      <w:tr w:rsidR="00EF6C2E" w:rsidRPr="002A50B7" w14:paraId="5C217900" w14:textId="77777777" w:rsidTr="009B17A7">
        <w:trPr>
          <w:trHeight w:val="620"/>
        </w:trPr>
        <w:tc>
          <w:tcPr>
            <w:tcW w:w="7205" w:type="dxa"/>
          </w:tcPr>
          <w:p w14:paraId="384E6CA9" w14:textId="77777777" w:rsidR="00EF6C2E" w:rsidRPr="002A50B7" w:rsidRDefault="00EF6C2E" w:rsidP="009B17A7">
            <w:pPr>
              <w:pStyle w:val="Heading2wide"/>
              <w:spacing w:before="240" w:after="120"/>
              <w:ind w:left="144" w:right="720"/>
              <w:rPr>
                <w:rFonts w:ascii="Times New Roman" w:hAnsi="Times New Roman" w:cs="Times New Roman"/>
                <w:color w:val="auto"/>
                <w:sz w:val="24"/>
              </w:rPr>
            </w:pPr>
            <w:r w:rsidRPr="002A50B7">
              <w:rPr>
                <w:rFonts w:ascii="Times New Roman" w:hAnsi="Times New Roman" w:cs="Times New Roman"/>
                <w:color w:val="auto"/>
                <w:sz w:val="24"/>
              </w:rPr>
              <w:t>Instruction Rubrics - Rubric</w:t>
            </w:r>
            <w:r w:rsidRPr="002A50B7">
              <w:rPr>
                <w:rFonts w:ascii="Times New Roman" w:hAnsi="Times New Roman" w:cs="Times New Roman"/>
                <w:color w:val="auto"/>
                <w:spacing w:val="-9"/>
                <w:sz w:val="24"/>
              </w:rPr>
              <w:t xml:space="preserve"> </w:t>
            </w:r>
            <w:r w:rsidRPr="002A50B7">
              <w:rPr>
                <w:rFonts w:ascii="Times New Roman" w:hAnsi="Times New Roman" w:cs="Times New Roman"/>
                <w:color w:val="auto"/>
                <w:sz w:val="24"/>
              </w:rPr>
              <w:t>8:</w:t>
            </w:r>
            <w:r w:rsidRPr="002A50B7">
              <w:rPr>
                <w:rFonts w:ascii="Times New Roman" w:hAnsi="Times New Roman" w:cs="Times New Roman"/>
                <w:color w:val="auto"/>
                <w:spacing w:val="-2"/>
                <w:sz w:val="24"/>
              </w:rPr>
              <w:t xml:space="preserve"> </w:t>
            </w:r>
            <w:r w:rsidRPr="002A50B7">
              <w:rPr>
                <w:rFonts w:ascii="Times New Roman" w:hAnsi="Times New Roman" w:cs="Times New Roman"/>
                <w:color w:val="auto"/>
                <w:sz w:val="24"/>
              </w:rPr>
              <w:t>Deepening</w:t>
            </w:r>
            <w:r w:rsidRPr="002A50B7">
              <w:rPr>
                <w:rFonts w:ascii="Times New Roman" w:hAnsi="Times New Roman" w:cs="Times New Roman"/>
                <w:color w:val="auto"/>
                <w:spacing w:val="-14"/>
                <w:sz w:val="24"/>
              </w:rPr>
              <w:t xml:space="preserve"> </w:t>
            </w:r>
            <w:r w:rsidRPr="002A50B7">
              <w:rPr>
                <w:rFonts w:ascii="Times New Roman" w:hAnsi="Times New Roman" w:cs="Times New Roman"/>
                <w:color w:val="auto"/>
                <w:sz w:val="24"/>
              </w:rPr>
              <w:t>Stud</w:t>
            </w:r>
            <w:r w:rsidRPr="002A50B7">
              <w:rPr>
                <w:rFonts w:ascii="Times New Roman" w:hAnsi="Times New Roman" w:cs="Times New Roman"/>
                <w:color w:val="auto"/>
                <w:spacing w:val="2"/>
                <w:sz w:val="24"/>
              </w:rPr>
              <w:t>e</w:t>
            </w:r>
            <w:r w:rsidRPr="002A50B7">
              <w:rPr>
                <w:rFonts w:ascii="Times New Roman" w:hAnsi="Times New Roman" w:cs="Times New Roman"/>
                <w:color w:val="auto"/>
                <w:sz w:val="24"/>
              </w:rPr>
              <w:t>nt</w:t>
            </w:r>
            <w:r w:rsidRPr="002A50B7">
              <w:rPr>
                <w:rFonts w:ascii="Times New Roman" w:hAnsi="Times New Roman" w:cs="Times New Roman"/>
                <w:color w:val="auto"/>
                <w:spacing w:val="-10"/>
                <w:sz w:val="24"/>
              </w:rPr>
              <w:t xml:space="preserve"> </w:t>
            </w:r>
            <w:r w:rsidRPr="002A50B7">
              <w:rPr>
                <w:rFonts w:ascii="Times New Roman" w:hAnsi="Times New Roman" w:cs="Times New Roman"/>
                <w:color w:val="auto"/>
                <w:sz w:val="24"/>
              </w:rPr>
              <w:t>Learning</w:t>
            </w:r>
          </w:p>
          <w:p w14:paraId="33AB63FD" w14:textId="77777777" w:rsidR="00EF6C2E" w:rsidRPr="002A50B7" w:rsidRDefault="00EF6C2E" w:rsidP="009B17A7">
            <w:pPr>
              <w:pStyle w:val="Heading2wide"/>
              <w:spacing w:before="240" w:after="120"/>
              <w:ind w:left="144" w:right="720"/>
              <w:rPr>
                <w:rFonts w:ascii="Times New Roman" w:hAnsi="Times New Roman" w:cs="Times New Roman"/>
                <w:color w:val="auto"/>
                <w:sz w:val="24"/>
              </w:rPr>
            </w:pPr>
            <w:r w:rsidRPr="002A50B7">
              <w:rPr>
                <w:rFonts w:ascii="Times New Roman" w:hAnsi="Times New Roman" w:cs="Times New Roman"/>
                <w:color w:val="auto"/>
                <w:sz w:val="24"/>
                <w:lang w:val="en-US"/>
              </w:rPr>
              <w:t xml:space="preserve">PRIMARY SOURCES OF </w:t>
            </w:r>
            <w:r w:rsidRPr="002A50B7">
              <w:rPr>
                <w:rFonts w:ascii="Times New Roman" w:hAnsi="Times New Roman" w:cs="Times New Roman"/>
                <w:color w:val="auto"/>
                <w:sz w:val="24"/>
              </w:rPr>
              <w:t xml:space="preserve">EVIDENCE: Video </w:t>
            </w:r>
            <w:r w:rsidRPr="002A50B7">
              <w:rPr>
                <w:rFonts w:ascii="Times New Roman" w:hAnsi="Times New Roman" w:cs="Times New Roman"/>
                <w:color w:val="auto"/>
                <w:sz w:val="24"/>
                <w:lang w:val="en-US"/>
              </w:rPr>
              <w:t>C</w:t>
            </w:r>
            <w:r w:rsidRPr="002A50B7">
              <w:rPr>
                <w:rFonts w:ascii="Times New Roman" w:hAnsi="Times New Roman" w:cs="Times New Roman"/>
                <w:color w:val="auto"/>
                <w:sz w:val="24"/>
              </w:rPr>
              <w:t>clip(s)</w:t>
            </w:r>
            <w:r w:rsidRPr="002A50B7">
              <w:rPr>
                <w:rFonts w:ascii="Times New Roman" w:hAnsi="Times New Roman" w:cs="Times New Roman"/>
                <w:color w:val="auto"/>
                <w:sz w:val="24"/>
                <w:lang w:val="en-US"/>
              </w:rPr>
              <w:t xml:space="preserve"> 1 and/or 2;</w:t>
            </w:r>
            <w:r w:rsidRPr="002A50B7">
              <w:rPr>
                <w:rFonts w:ascii="Times New Roman" w:hAnsi="Times New Roman" w:cs="Times New Roman"/>
                <w:color w:val="auto"/>
                <w:sz w:val="24"/>
              </w:rPr>
              <w:t xml:space="preserve"> Instruction </w:t>
            </w:r>
            <w:r w:rsidRPr="002A50B7">
              <w:rPr>
                <w:rFonts w:ascii="Times New Roman" w:hAnsi="Times New Roman" w:cs="Times New Roman"/>
                <w:color w:val="auto"/>
                <w:sz w:val="24"/>
                <w:lang w:val="en-US"/>
              </w:rPr>
              <w:t>C</w:t>
            </w:r>
            <w:r w:rsidRPr="002A50B7">
              <w:rPr>
                <w:rFonts w:ascii="Times New Roman" w:hAnsi="Times New Roman" w:cs="Times New Roman"/>
                <w:color w:val="auto"/>
                <w:sz w:val="24"/>
              </w:rPr>
              <w:t xml:space="preserve">ommentary </w:t>
            </w:r>
            <w:r w:rsidRPr="002A50B7">
              <w:rPr>
                <w:rFonts w:ascii="Times New Roman" w:hAnsi="Times New Roman" w:cs="Times New Roman"/>
                <w:color w:val="auto"/>
                <w:sz w:val="24"/>
                <w:lang w:val="en-US"/>
              </w:rPr>
              <w:t>P</w:t>
            </w:r>
            <w:r w:rsidRPr="002A50B7">
              <w:rPr>
                <w:rFonts w:ascii="Times New Roman" w:hAnsi="Times New Roman" w:cs="Times New Roman"/>
                <w:color w:val="auto"/>
                <w:sz w:val="24"/>
              </w:rPr>
              <w:t>rompt 4a</w:t>
            </w:r>
          </w:p>
          <w:p w14:paraId="5127BD85" w14:textId="77777777" w:rsidR="00EF6C2E" w:rsidRPr="002A50B7" w:rsidRDefault="00EF6C2E" w:rsidP="009B17A7">
            <w:pPr>
              <w:widowControl w:val="0"/>
              <w:autoSpaceDE w:val="0"/>
              <w:autoSpaceDN w:val="0"/>
              <w:adjustRightInd w:val="0"/>
              <w:rPr>
                <w:rFonts w:ascii="Times New Roman" w:hAnsi="Times New Roman"/>
                <w:sz w:val="24"/>
              </w:rPr>
            </w:pPr>
          </w:p>
        </w:tc>
        <w:tc>
          <w:tcPr>
            <w:tcW w:w="630" w:type="dxa"/>
          </w:tcPr>
          <w:p w14:paraId="7C9E84A2" w14:textId="77777777" w:rsidR="00EF6C2E" w:rsidRPr="002A50B7" w:rsidRDefault="00EF6C2E" w:rsidP="009B17A7">
            <w:pPr>
              <w:widowControl w:val="0"/>
              <w:autoSpaceDE w:val="0"/>
              <w:autoSpaceDN w:val="0"/>
              <w:adjustRightInd w:val="0"/>
              <w:jc w:val="right"/>
              <w:rPr>
                <w:rFonts w:ascii="Times New Roman" w:hAnsi="Times New Roman"/>
                <w:sz w:val="24"/>
              </w:rPr>
            </w:pPr>
            <w:r w:rsidRPr="002A50B7">
              <w:rPr>
                <w:rFonts w:ascii="Times New Roman" w:hAnsi="Times New Roman"/>
                <w:sz w:val="24"/>
              </w:rPr>
              <w:t>18</w:t>
            </w:r>
          </w:p>
        </w:tc>
        <w:tc>
          <w:tcPr>
            <w:tcW w:w="895" w:type="dxa"/>
          </w:tcPr>
          <w:p w14:paraId="68533B94" w14:textId="77777777" w:rsidR="00EF6C2E" w:rsidRPr="002A50B7" w:rsidRDefault="00EF6C2E" w:rsidP="009B17A7">
            <w:pPr>
              <w:widowControl w:val="0"/>
              <w:autoSpaceDE w:val="0"/>
              <w:autoSpaceDN w:val="0"/>
              <w:adjustRightInd w:val="0"/>
              <w:jc w:val="right"/>
              <w:rPr>
                <w:rFonts w:ascii="Times New Roman" w:hAnsi="Times New Roman"/>
                <w:sz w:val="24"/>
              </w:rPr>
            </w:pPr>
            <w:r w:rsidRPr="002A50B7">
              <w:rPr>
                <w:rFonts w:ascii="Times New Roman" w:hAnsi="Times New Roman"/>
                <w:sz w:val="24"/>
              </w:rPr>
              <w:t>2.83</w:t>
            </w:r>
          </w:p>
        </w:tc>
      </w:tr>
      <w:tr w:rsidR="00EF6C2E" w:rsidRPr="002A50B7" w14:paraId="60949253" w14:textId="77777777" w:rsidTr="009B17A7">
        <w:trPr>
          <w:trHeight w:val="710"/>
        </w:trPr>
        <w:tc>
          <w:tcPr>
            <w:tcW w:w="7205" w:type="dxa"/>
          </w:tcPr>
          <w:p w14:paraId="0B2BE5D8" w14:textId="77777777" w:rsidR="00EF6C2E" w:rsidRPr="002A50B7" w:rsidRDefault="00EF6C2E" w:rsidP="009B17A7">
            <w:pPr>
              <w:pStyle w:val="Heading2wide"/>
              <w:spacing w:before="240" w:after="120"/>
              <w:ind w:left="144" w:right="720"/>
              <w:rPr>
                <w:rFonts w:ascii="Times New Roman" w:hAnsi="Times New Roman" w:cs="Times New Roman"/>
                <w:color w:val="auto"/>
                <w:spacing w:val="-2"/>
                <w:sz w:val="24"/>
              </w:rPr>
            </w:pPr>
            <w:r w:rsidRPr="002A50B7">
              <w:rPr>
                <w:rFonts w:ascii="Times New Roman" w:hAnsi="Times New Roman" w:cs="Times New Roman"/>
                <w:color w:val="auto"/>
                <w:sz w:val="24"/>
              </w:rPr>
              <w:t>Instruction Rubrics - Rubric</w:t>
            </w:r>
            <w:r w:rsidRPr="002A50B7">
              <w:rPr>
                <w:rFonts w:ascii="Times New Roman" w:hAnsi="Times New Roman" w:cs="Times New Roman"/>
                <w:color w:val="auto"/>
                <w:spacing w:val="-8"/>
                <w:sz w:val="24"/>
              </w:rPr>
              <w:t xml:space="preserve"> </w:t>
            </w:r>
            <w:r w:rsidRPr="002A50B7">
              <w:rPr>
                <w:rFonts w:ascii="Times New Roman" w:hAnsi="Times New Roman" w:cs="Times New Roman"/>
                <w:color w:val="auto"/>
                <w:sz w:val="24"/>
              </w:rPr>
              <w:t>9:</w:t>
            </w:r>
            <w:r w:rsidRPr="002A50B7">
              <w:rPr>
                <w:rFonts w:ascii="Times New Roman" w:hAnsi="Times New Roman" w:cs="Times New Roman"/>
                <w:color w:val="auto"/>
                <w:spacing w:val="-1"/>
                <w:sz w:val="24"/>
              </w:rPr>
              <w:t xml:space="preserve"> </w:t>
            </w:r>
            <w:r w:rsidRPr="002A50B7">
              <w:rPr>
                <w:rFonts w:ascii="Times New Roman" w:hAnsi="Times New Roman" w:cs="Times New Roman"/>
                <w:color w:val="auto"/>
                <w:sz w:val="24"/>
              </w:rPr>
              <w:t>Subject-Specific</w:t>
            </w:r>
            <w:r w:rsidRPr="002A50B7">
              <w:rPr>
                <w:rFonts w:ascii="Times New Roman" w:hAnsi="Times New Roman" w:cs="Times New Roman"/>
                <w:color w:val="auto"/>
                <w:spacing w:val="-21"/>
                <w:sz w:val="24"/>
              </w:rPr>
              <w:t xml:space="preserve"> </w:t>
            </w:r>
            <w:r w:rsidRPr="002A50B7">
              <w:rPr>
                <w:rFonts w:ascii="Times New Roman" w:hAnsi="Times New Roman" w:cs="Times New Roman"/>
                <w:color w:val="auto"/>
                <w:sz w:val="24"/>
              </w:rPr>
              <w:t>Pedagog</w:t>
            </w:r>
            <w:r w:rsidRPr="002A50B7">
              <w:rPr>
                <w:rFonts w:ascii="Times New Roman" w:hAnsi="Times New Roman" w:cs="Times New Roman"/>
                <w:color w:val="auto"/>
                <w:spacing w:val="-2"/>
                <w:sz w:val="24"/>
              </w:rPr>
              <w:t>y</w:t>
            </w:r>
          </w:p>
          <w:p w14:paraId="2E1D5813" w14:textId="77777777" w:rsidR="00EF6C2E" w:rsidRPr="002A50B7" w:rsidRDefault="00EF6C2E" w:rsidP="009B17A7">
            <w:pPr>
              <w:pStyle w:val="Heading2wide"/>
              <w:spacing w:before="240" w:after="120"/>
              <w:ind w:left="144" w:right="720"/>
              <w:rPr>
                <w:rFonts w:ascii="Times New Roman" w:hAnsi="Times New Roman" w:cs="Times New Roman"/>
                <w:color w:val="auto"/>
                <w:sz w:val="24"/>
              </w:rPr>
            </w:pPr>
            <w:r w:rsidRPr="002A50B7">
              <w:rPr>
                <w:rFonts w:ascii="Times New Roman" w:hAnsi="Times New Roman" w:cs="Times New Roman"/>
                <w:color w:val="auto"/>
                <w:spacing w:val="-2"/>
                <w:sz w:val="24"/>
                <w:lang w:val="en-US"/>
              </w:rPr>
              <w:t xml:space="preserve">PRIMARY SOURCES FO </w:t>
            </w:r>
            <w:r w:rsidRPr="002A50B7">
              <w:rPr>
                <w:rFonts w:ascii="Times New Roman" w:hAnsi="Times New Roman" w:cs="Times New Roman"/>
                <w:color w:val="auto"/>
                <w:spacing w:val="-2"/>
                <w:sz w:val="24"/>
              </w:rPr>
              <w:t xml:space="preserve">EVIDENCE: </w:t>
            </w:r>
            <w:r w:rsidRPr="002A50B7">
              <w:rPr>
                <w:rFonts w:ascii="Times New Roman" w:hAnsi="Times New Roman" w:cs="Times New Roman"/>
                <w:color w:val="auto"/>
                <w:spacing w:val="-2"/>
                <w:sz w:val="24"/>
                <w:lang w:val="en-US"/>
              </w:rPr>
              <w:t>Video Clip 1 (engagement of students while candidate models the essential literacy strategy); Video Clip 2 (supporting students to practice and apply the essential literacy strategy);</w:t>
            </w:r>
            <w:r w:rsidRPr="002A50B7">
              <w:rPr>
                <w:rFonts w:ascii="Times New Roman" w:hAnsi="Times New Roman" w:cs="Times New Roman"/>
                <w:color w:val="auto"/>
                <w:spacing w:val="-2"/>
                <w:sz w:val="24"/>
              </w:rPr>
              <w:t xml:space="preserve"> Instruction </w:t>
            </w:r>
            <w:r w:rsidRPr="002A50B7">
              <w:rPr>
                <w:rFonts w:ascii="Times New Roman" w:hAnsi="Times New Roman" w:cs="Times New Roman"/>
                <w:color w:val="auto"/>
                <w:spacing w:val="-2"/>
                <w:sz w:val="24"/>
                <w:lang w:val="en-US"/>
              </w:rPr>
              <w:t>C</w:t>
            </w:r>
            <w:r w:rsidRPr="002A50B7">
              <w:rPr>
                <w:rFonts w:ascii="Times New Roman" w:hAnsi="Times New Roman" w:cs="Times New Roman"/>
                <w:color w:val="auto"/>
                <w:spacing w:val="-2"/>
                <w:sz w:val="24"/>
              </w:rPr>
              <w:t xml:space="preserve">ommentary </w:t>
            </w:r>
            <w:r w:rsidRPr="002A50B7">
              <w:rPr>
                <w:rFonts w:ascii="Times New Roman" w:hAnsi="Times New Roman" w:cs="Times New Roman"/>
                <w:color w:val="auto"/>
                <w:spacing w:val="-2"/>
                <w:sz w:val="24"/>
                <w:lang w:val="en-US"/>
              </w:rPr>
              <w:t>P</w:t>
            </w:r>
            <w:r w:rsidRPr="002A50B7">
              <w:rPr>
                <w:rFonts w:ascii="Times New Roman" w:hAnsi="Times New Roman" w:cs="Times New Roman"/>
                <w:color w:val="auto"/>
                <w:spacing w:val="-2"/>
                <w:sz w:val="24"/>
              </w:rPr>
              <w:t>rompt 4b</w:t>
            </w:r>
          </w:p>
          <w:p w14:paraId="36C8AB1E" w14:textId="77777777" w:rsidR="00EF6C2E" w:rsidRPr="002A50B7" w:rsidRDefault="00EF6C2E" w:rsidP="009B17A7">
            <w:pPr>
              <w:widowControl w:val="0"/>
              <w:autoSpaceDE w:val="0"/>
              <w:autoSpaceDN w:val="0"/>
              <w:adjustRightInd w:val="0"/>
              <w:rPr>
                <w:rFonts w:ascii="Times New Roman" w:hAnsi="Times New Roman"/>
                <w:sz w:val="24"/>
                <w:highlight w:val="yellow"/>
              </w:rPr>
            </w:pPr>
          </w:p>
        </w:tc>
        <w:tc>
          <w:tcPr>
            <w:tcW w:w="630" w:type="dxa"/>
          </w:tcPr>
          <w:p w14:paraId="4B596C0C" w14:textId="77777777" w:rsidR="00EF6C2E" w:rsidRPr="002A50B7" w:rsidRDefault="00EF6C2E" w:rsidP="009B17A7">
            <w:pPr>
              <w:widowControl w:val="0"/>
              <w:autoSpaceDE w:val="0"/>
              <w:autoSpaceDN w:val="0"/>
              <w:adjustRightInd w:val="0"/>
              <w:jc w:val="right"/>
              <w:rPr>
                <w:rFonts w:ascii="Times New Roman" w:hAnsi="Times New Roman"/>
                <w:sz w:val="24"/>
                <w:highlight w:val="yellow"/>
              </w:rPr>
            </w:pPr>
            <w:r w:rsidRPr="002A50B7">
              <w:rPr>
                <w:rFonts w:ascii="Times New Roman" w:hAnsi="Times New Roman"/>
                <w:sz w:val="24"/>
              </w:rPr>
              <w:t>18</w:t>
            </w:r>
          </w:p>
        </w:tc>
        <w:tc>
          <w:tcPr>
            <w:tcW w:w="895" w:type="dxa"/>
          </w:tcPr>
          <w:p w14:paraId="4092F382" w14:textId="77777777" w:rsidR="00EF6C2E" w:rsidRPr="002A50B7" w:rsidRDefault="00EF6C2E" w:rsidP="009B17A7">
            <w:pPr>
              <w:widowControl w:val="0"/>
              <w:autoSpaceDE w:val="0"/>
              <w:autoSpaceDN w:val="0"/>
              <w:adjustRightInd w:val="0"/>
              <w:jc w:val="right"/>
              <w:rPr>
                <w:rFonts w:ascii="Times New Roman" w:hAnsi="Times New Roman"/>
                <w:sz w:val="24"/>
                <w:highlight w:val="yellow"/>
              </w:rPr>
            </w:pPr>
            <w:r w:rsidRPr="002A50B7">
              <w:rPr>
                <w:rFonts w:ascii="Times New Roman" w:hAnsi="Times New Roman"/>
                <w:sz w:val="24"/>
              </w:rPr>
              <w:t>2.61</w:t>
            </w:r>
          </w:p>
        </w:tc>
      </w:tr>
      <w:tr w:rsidR="00EF6C2E" w:rsidRPr="002A50B7" w14:paraId="796F81D3" w14:textId="77777777" w:rsidTr="009B17A7">
        <w:trPr>
          <w:trHeight w:val="710"/>
        </w:trPr>
        <w:tc>
          <w:tcPr>
            <w:tcW w:w="7205" w:type="dxa"/>
          </w:tcPr>
          <w:p w14:paraId="3EBE5AA9" w14:textId="77777777" w:rsidR="00EF6C2E" w:rsidRPr="002A50B7" w:rsidRDefault="00EF6C2E" w:rsidP="009B17A7">
            <w:pPr>
              <w:pStyle w:val="Heading2wide"/>
              <w:spacing w:before="240" w:after="120"/>
              <w:ind w:left="144" w:right="720"/>
              <w:rPr>
                <w:rFonts w:ascii="Times New Roman" w:hAnsi="Times New Roman" w:cs="Times New Roman"/>
                <w:color w:val="auto"/>
                <w:sz w:val="24"/>
              </w:rPr>
            </w:pPr>
            <w:r w:rsidRPr="002A50B7">
              <w:rPr>
                <w:rFonts w:ascii="Times New Roman" w:hAnsi="Times New Roman" w:cs="Times New Roman"/>
                <w:color w:val="auto"/>
                <w:sz w:val="24"/>
              </w:rPr>
              <w:t>Instruction Rubrics - Rubric</w:t>
            </w:r>
            <w:r w:rsidRPr="002A50B7">
              <w:rPr>
                <w:rFonts w:ascii="Times New Roman" w:hAnsi="Times New Roman" w:cs="Times New Roman"/>
                <w:color w:val="auto"/>
                <w:spacing w:val="-9"/>
                <w:sz w:val="24"/>
              </w:rPr>
              <w:t xml:space="preserve"> </w:t>
            </w:r>
            <w:r w:rsidRPr="002A50B7">
              <w:rPr>
                <w:rFonts w:ascii="Times New Roman" w:hAnsi="Times New Roman" w:cs="Times New Roman"/>
                <w:color w:val="auto"/>
                <w:sz w:val="24"/>
              </w:rPr>
              <w:t>10:</w:t>
            </w:r>
            <w:r w:rsidRPr="002A50B7">
              <w:rPr>
                <w:rFonts w:ascii="Times New Roman" w:hAnsi="Times New Roman" w:cs="Times New Roman"/>
                <w:color w:val="auto"/>
                <w:spacing w:val="-4"/>
                <w:sz w:val="24"/>
              </w:rPr>
              <w:t xml:space="preserve"> </w:t>
            </w:r>
            <w:r w:rsidRPr="002A50B7">
              <w:rPr>
                <w:rFonts w:ascii="Times New Roman" w:hAnsi="Times New Roman" w:cs="Times New Roman"/>
                <w:color w:val="auto"/>
                <w:sz w:val="24"/>
              </w:rPr>
              <w:t>Analyzing</w:t>
            </w:r>
            <w:r w:rsidRPr="002A50B7">
              <w:rPr>
                <w:rFonts w:ascii="Times New Roman" w:hAnsi="Times New Roman" w:cs="Times New Roman"/>
                <w:color w:val="auto"/>
                <w:spacing w:val="-13"/>
                <w:sz w:val="24"/>
              </w:rPr>
              <w:t xml:space="preserve"> </w:t>
            </w:r>
            <w:r w:rsidRPr="002A50B7">
              <w:rPr>
                <w:rFonts w:ascii="Times New Roman" w:hAnsi="Times New Roman" w:cs="Times New Roman"/>
                <w:color w:val="auto"/>
                <w:sz w:val="24"/>
              </w:rPr>
              <w:t>Teaching</w:t>
            </w:r>
            <w:r w:rsidRPr="002A50B7">
              <w:rPr>
                <w:rFonts w:ascii="Times New Roman" w:hAnsi="Times New Roman" w:cs="Times New Roman"/>
                <w:color w:val="auto"/>
                <w:spacing w:val="-12"/>
                <w:sz w:val="24"/>
              </w:rPr>
              <w:t xml:space="preserve"> </w:t>
            </w:r>
            <w:r w:rsidRPr="002A50B7">
              <w:rPr>
                <w:rFonts w:ascii="Times New Roman" w:hAnsi="Times New Roman" w:cs="Times New Roman"/>
                <w:color w:val="auto"/>
                <w:sz w:val="24"/>
              </w:rPr>
              <w:t>Effectiveness</w:t>
            </w:r>
          </w:p>
          <w:p w14:paraId="27A8DD70" w14:textId="77777777" w:rsidR="00EF6C2E" w:rsidRPr="002A50B7" w:rsidRDefault="00EF6C2E" w:rsidP="009B17A7">
            <w:pPr>
              <w:pStyle w:val="Heading2wide"/>
              <w:spacing w:before="240" w:after="120"/>
              <w:ind w:left="144" w:right="720"/>
              <w:rPr>
                <w:rFonts w:ascii="Times New Roman" w:hAnsi="Times New Roman" w:cs="Times New Roman"/>
                <w:color w:val="auto"/>
                <w:sz w:val="24"/>
              </w:rPr>
            </w:pPr>
            <w:r w:rsidRPr="002A50B7">
              <w:rPr>
                <w:rFonts w:ascii="Times New Roman" w:hAnsi="Times New Roman" w:cs="Times New Roman"/>
                <w:color w:val="auto"/>
                <w:sz w:val="24"/>
                <w:lang w:val="en-US"/>
              </w:rPr>
              <w:t xml:space="preserve">PRIMARY SOURCES OF </w:t>
            </w:r>
            <w:r w:rsidRPr="002A50B7">
              <w:rPr>
                <w:rFonts w:ascii="Times New Roman" w:hAnsi="Times New Roman" w:cs="Times New Roman"/>
                <w:color w:val="auto"/>
                <w:sz w:val="24"/>
              </w:rPr>
              <w:t xml:space="preserve">EVIDENCE: Video </w:t>
            </w:r>
            <w:r w:rsidRPr="002A50B7">
              <w:rPr>
                <w:rFonts w:ascii="Times New Roman" w:hAnsi="Times New Roman" w:cs="Times New Roman"/>
                <w:color w:val="auto"/>
                <w:sz w:val="24"/>
                <w:lang w:val="en-US"/>
              </w:rPr>
              <w:t>C</w:t>
            </w:r>
            <w:r w:rsidRPr="002A50B7">
              <w:rPr>
                <w:rFonts w:ascii="Times New Roman" w:hAnsi="Times New Roman" w:cs="Times New Roman"/>
                <w:color w:val="auto"/>
                <w:sz w:val="24"/>
              </w:rPr>
              <w:t>lips</w:t>
            </w:r>
            <w:r w:rsidRPr="002A50B7">
              <w:rPr>
                <w:rFonts w:ascii="Times New Roman" w:hAnsi="Times New Roman" w:cs="Times New Roman"/>
                <w:color w:val="auto"/>
                <w:sz w:val="24"/>
                <w:lang w:val="en-US"/>
              </w:rPr>
              <w:t xml:space="preserve"> 1 and 2 (for evidence of student learning);</w:t>
            </w:r>
            <w:r w:rsidRPr="002A50B7">
              <w:rPr>
                <w:rFonts w:ascii="Times New Roman" w:hAnsi="Times New Roman" w:cs="Times New Roman"/>
                <w:color w:val="auto"/>
                <w:sz w:val="24"/>
              </w:rPr>
              <w:t xml:space="preserve"> Instruction </w:t>
            </w:r>
            <w:r w:rsidRPr="002A50B7">
              <w:rPr>
                <w:rFonts w:ascii="Times New Roman" w:hAnsi="Times New Roman" w:cs="Times New Roman"/>
                <w:color w:val="auto"/>
                <w:sz w:val="24"/>
                <w:lang w:val="en-US"/>
              </w:rPr>
              <w:t>C</w:t>
            </w:r>
            <w:r w:rsidRPr="002A50B7">
              <w:rPr>
                <w:rFonts w:ascii="Times New Roman" w:hAnsi="Times New Roman" w:cs="Times New Roman"/>
                <w:color w:val="auto"/>
                <w:sz w:val="24"/>
              </w:rPr>
              <w:t xml:space="preserve">ommentary </w:t>
            </w:r>
            <w:r w:rsidRPr="002A50B7">
              <w:rPr>
                <w:rFonts w:ascii="Times New Roman" w:hAnsi="Times New Roman" w:cs="Times New Roman"/>
                <w:color w:val="auto"/>
                <w:sz w:val="24"/>
                <w:lang w:val="en-US"/>
              </w:rPr>
              <w:t>P</w:t>
            </w:r>
            <w:r w:rsidRPr="002A50B7">
              <w:rPr>
                <w:rFonts w:ascii="Times New Roman" w:hAnsi="Times New Roman" w:cs="Times New Roman"/>
                <w:color w:val="auto"/>
                <w:sz w:val="24"/>
              </w:rPr>
              <w:t>rompt 5</w:t>
            </w:r>
          </w:p>
          <w:p w14:paraId="1443D593" w14:textId="77777777" w:rsidR="00EF6C2E" w:rsidRPr="002A50B7" w:rsidRDefault="00EF6C2E" w:rsidP="009B17A7">
            <w:pPr>
              <w:widowControl w:val="0"/>
              <w:autoSpaceDE w:val="0"/>
              <w:autoSpaceDN w:val="0"/>
              <w:adjustRightInd w:val="0"/>
              <w:rPr>
                <w:rFonts w:ascii="Times New Roman" w:hAnsi="Times New Roman"/>
                <w:sz w:val="24"/>
              </w:rPr>
            </w:pPr>
          </w:p>
        </w:tc>
        <w:tc>
          <w:tcPr>
            <w:tcW w:w="630" w:type="dxa"/>
          </w:tcPr>
          <w:p w14:paraId="0965319C" w14:textId="77777777" w:rsidR="00EF6C2E" w:rsidRPr="002A50B7" w:rsidRDefault="00EF6C2E" w:rsidP="009B17A7">
            <w:pPr>
              <w:widowControl w:val="0"/>
              <w:autoSpaceDE w:val="0"/>
              <w:autoSpaceDN w:val="0"/>
              <w:adjustRightInd w:val="0"/>
              <w:jc w:val="right"/>
              <w:rPr>
                <w:rFonts w:ascii="Times New Roman" w:hAnsi="Times New Roman"/>
                <w:sz w:val="24"/>
              </w:rPr>
            </w:pPr>
            <w:r w:rsidRPr="002A50B7">
              <w:rPr>
                <w:rFonts w:ascii="Times New Roman" w:hAnsi="Times New Roman"/>
                <w:sz w:val="24"/>
              </w:rPr>
              <w:t>18</w:t>
            </w:r>
          </w:p>
        </w:tc>
        <w:tc>
          <w:tcPr>
            <w:tcW w:w="895" w:type="dxa"/>
          </w:tcPr>
          <w:p w14:paraId="0A2CF2E9" w14:textId="77777777" w:rsidR="00EF6C2E" w:rsidRPr="002A50B7" w:rsidRDefault="00EF6C2E" w:rsidP="009B17A7">
            <w:pPr>
              <w:widowControl w:val="0"/>
              <w:autoSpaceDE w:val="0"/>
              <w:autoSpaceDN w:val="0"/>
              <w:adjustRightInd w:val="0"/>
              <w:jc w:val="right"/>
              <w:rPr>
                <w:rFonts w:ascii="Times New Roman" w:hAnsi="Times New Roman"/>
                <w:sz w:val="24"/>
              </w:rPr>
            </w:pPr>
            <w:r w:rsidRPr="002A50B7">
              <w:rPr>
                <w:rFonts w:ascii="Times New Roman" w:hAnsi="Times New Roman"/>
                <w:sz w:val="24"/>
              </w:rPr>
              <w:t>2.5</w:t>
            </w:r>
          </w:p>
        </w:tc>
      </w:tr>
      <w:tr w:rsidR="00EF6C2E" w:rsidRPr="002A50B7" w14:paraId="3E95F140" w14:textId="77777777" w:rsidTr="009B17A7">
        <w:trPr>
          <w:trHeight w:val="710"/>
        </w:trPr>
        <w:tc>
          <w:tcPr>
            <w:tcW w:w="7205" w:type="dxa"/>
          </w:tcPr>
          <w:p w14:paraId="45D469CC" w14:textId="77777777" w:rsidR="00EF6C2E" w:rsidRPr="002A50B7" w:rsidRDefault="00EF6C2E" w:rsidP="009B17A7">
            <w:pPr>
              <w:pStyle w:val="Heading2wide"/>
              <w:spacing w:before="240" w:after="120"/>
              <w:ind w:left="144" w:right="144"/>
              <w:rPr>
                <w:rFonts w:ascii="Times New Roman" w:hAnsi="Times New Roman" w:cs="Times New Roman"/>
                <w:color w:val="auto"/>
                <w:sz w:val="24"/>
              </w:rPr>
            </w:pPr>
            <w:r w:rsidRPr="002A50B7">
              <w:rPr>
                <w:rFonts w:ascii="Times New Roman" w:hAnsi="Times New Roman" w:cs="Times New Roman"/>
                <w:color w:val="auto"/>
                <w:sz w:val="24"/>
              </w:rPr>
              <w:t>Assessment Rubrics - Rubric</w:t>
            </w:r>
            <w:r w:rsidRPr="002A50B7">
              <w:rPr>
                <w:rFonts w:ascii="Times New Roman" w:hAnsi="Times New Roman" w:cs="Times New Roman"/>
                <w:color w:val="auto"/>
                <w:spacing w:val="-9"/>
                <w:sz w:val="24"/>
              </w:rPr>
              <w:t xml:space="preserve"> </w:t>
            </w:r>
            <w:r w:rsidRPr="002A50B7">
              <w:rPr>
                <w:rFonts w:ascii="Times New Roman" w:hAnsi="Times New Roman" w:cs="Times New Roman"/>
                <w:color w:val="auto"/>
                <w:sz w:val="24"/>
              </w:rPr>
              <w:t>11:</w:t>
            </w:r>
            <w:r w:rsidRPr="002A50B7">
              <w:rPr>
                <w:rFonts w:ascii="Times New Roman" w:hAnsi="Times New Roman" w:cs="Times New Roman"/>
                <w:color w:val="auto"/>
                <w:spacing w:val="-4"/>
                <w:sz w:val="24"/>
              </w:rPr>
              <w:t xml:space="preserve"> </w:t>
            </w:r>
            <w:r w:rsidRPr="002A50B7">
              <w:rPr>
                <w:rFonts w:ascii="Times New Roman" w:hAnsi="Times New Roman" w:cs="Times New Roman"/>
                <w:color w:val="auto"/>
                <w:sz w:val="24"/>
              </w:rPr>
              <w:t>Analysis</w:t>
            </w:r>
            <w:r w:rsidRPr="002A50B7">
              <w:rPr>
                <w:rFonts w:ascii="Times New Roman" w:hAnsi="Times New Roman" w:cs="Times New Roman"/>
                <w:color w:val="auto"/>
                <w:spacing w:val="-12"/>
                <w:sz w:val="24"/>
              </w:rPr>
              <w:t xml:space="preserve"> </w:t>
            </w:r>
            <w:r w:rsidRPr="002A50B7">
              <w:rPr>
                <w:rFonts w:ascii="Times New Roman" w:hAnsi="Times New Roman" w:cs="Times New Roman"/>
                <w:color w:val="auto"/>
                <w:sz w:val="24"/>
              </w:rPr>
              <w:t>of</w:t>
            </w:r>
            <w:r w:rsidRPr="002A50B7">
              <w:rPr>
                <w:rFonts w:ascii="Times New Roman" w:hAnsi="Times New Roman" w:cs="Times New Roman"/>
                <w:color w:val="auto"/>
                <w:spacing w:val="-3"/>
                <w:sz w:val="24"/>
              </w:rPr>
              <w:t xml:space="preserve"> </w:t>
            </w:r>
            <w:r w:rsidRPr="002A50B7">
              <w:rPr>
                <w:rFonts w:ascii="Times New Roman" w:hAnsi="Times New Roman" w:cs="Times New Roman"/>
                <w:color w:val="auto"/>
                <w:sz w:val="24"/>
              </w:rPr>
              <w:t>Student</w:t>
            </w:r>
            <w:r w:rsidRPr="002A50B7">
              <w:rPr>
                <w:rFonts w:ascii="Times New Roman" w:hAnsi="Times New Roman" w:cs="Times New Roman"/>
                <w:color w:val="auto"/>
                <w:spacing w:val="-10"/>
                <w:sz w:val="24"/>
              </w:rPr>
              <w:t xml:space="preserve"> </w:t>
            </w:r>
            <w:r w:rsidRPr="002A50B7">
              <w:rPr>
                <w:rFonts w:ascii="Times New Roman" w:hAnsi="Times New Roman" w:cs="Times New Roman"/>
                <w:color w:val="auto"/>
                <w:sz w:val="24"/>
              </w:rPr>
              <w:t>Learning</w:t>
            </w:r>
          </w:p>
          <w:p w14:paraId="00EB918D" w14:textId="77777777" w:rsidR="00EF6C2E" w:rsidRPr="002A50B7" w:rsidRDefault="00EF6C2E" w:rsidP="009B17A7">
            <w:pPr>
              <w:pStyle w:val="Heading2wide"/>
              <w:spacing w:before="240" w:after="120"/>
              <w:ind w:left="144" w:right="144"/>
              <w:rPr>
                <w:rFonts w:ascii="Times New Roman" w:hAnsi="Times New Roman" w:cs="Times New Roman"/>
                <w:color w:val="auto"/>
                <w:sz w:val="24"/>
              </w:rPr>
            </w:pPr>
            <w:r w:rsidRPr="002A50B7">
              <w:rPr>
                <w:rFonts w:ascii="Times New Roman" w:hAnsi="Times New Roman" w:cs="Times New Roman"/>
                <w:color w:val="auto"/>
                <w:sz w:val="24"/>
                <w:lang w:val="en-US"/>
              </w:rPr>
              <w:t xml:space="preserve">PRIMARY SOURCES OF </w:t>
            </w:r>
            <w:r w:rsidRPr="002A50B7">
              <w:rPr>
                <w:rFonts w:ascii="Times New Roman" w:hAnsi="Times New Roman" w:cs="Times New Roman"/>
                <w:color w:val="auto"/>
                <w:sz w:val="24"/>
              </w:rPr>
              <w:t xml:space="preserve">EVIDENCE: Assessment </w:t>
            </w:r>
            <w:r w:rsidRPr="002A50B7">
              <w:rPr>
                <w:rFonts w:ascii="Times New Roman" w:hAnsi="Times New Roman" w:cs="Times New Roman"/>
                <w:color w:val="auto"/>
                <w:sz w:val="24"/>
                <w:lang w:val="en-US"/>
              </w:rPr>
              <w:t>C</w:t>
            </w:r>
            <w:r w:rsidRPr="002A50B7">
              <w:rPr>
                <w:rFonts w:ascii="Times New Roman" w:hAnsi="Times New Roman" w:cs="Times New Roman"/>
                <w:color w:val="auto"/>
                <w:sz w:val="24"/>
              </w:rPr>
              <w:t xml:space="preserve">ommentary </w:t>
            </w:r>
            <w:r w:rsidRPr="002A50B7">
              <w:rPr>
                <w:rFonts w:ascii="Times New Roman" w:hAnsi="Times New Roman" w:cs="Times New Roman"/>
                <w:color w:val="auto"/>
                <w:sz w:val="24"/>
                <w:lang w:val="en-US"/>
              </w:rPr>
              <w:t xml:space="preserve">Prompt </w:t>
            </w:r>
            <w:r w:rsidRPr="002A50B7">
              <w:rPr>
                <w:rFonts w:ascii="Times New Roman" w:hAnsi="Times New Roman" w:cs="Times New Roman"/>
                <w:color w:val="auto"/>
                <w:sz w:val="24"/>
              </w:rPr>
              <w:t>1</w:t>
            </w:r>
            <w:r w:rsidRPr="002A50B7">
              <w:rPr>
                <w:rFonts w:ascii="Times New Roman" w:hAnsi="Times New Roman" w:cs="Times New Roman"/>
                <w:color w:val="auto"/>
                <w:sz w:val="24"/>
                <w:lang w:val="en-US"/>
              </w:rPr>
              <w:t>;</w:t>
            </w:r>
            <w:r w:rsidRPr="002A50B7">
              <w:rPr>
                <w:rFonts w:ascii="Times New Roman" w:hAnsi="Times New Roman" w:cs="Times New Roman"/>
                <w:color w:val="auto"/>
                <w:sz w:val="24"/>
              </w:rPr>
              <w:t xml:space="preserve"> </w:t>
            </w:r>
            <w:r w:rsidRPr="002A50B7">
              <w:rPr>
                <w:rFonts w:ascii="Times New Roman" w:hAnsi="Times New Roman" w:cs="Times New Roman"/>
                <w:color w:val="auto"/>
                <w:sz w:val="24"/>
                <w:lang w:val="en-US"/>
              </w:rPr>
              <w:t xml:space="preserve">student work samples; </w:t>
            </w:r>
            <w:r w:rsidRPr="002A50B7">
              <w:rPr>
                <w:rFonts w:ascii="Times New Roman" w:hAnsi="Times New Roman" w:cs="Times New Roman"/>
                <w:color w:val="auto"/>
                <w:sz w:val="24"/>
              </w:rPr>
              <w:t>evaluation criteria</w:t>
            </w:r>
          </w:p>
          <w:p w14:paraId="683B8AEA" w14:textId="77777777" w:rsidR="00EF6C2E" w:rsidRPr="002A50B7" w:rsidRDefault="00EF6C2E" w:rsidP="009B17A7">
            <w:pPr>
              <w:widowControl w:val="0"/>
              <w:autoSpaceDE w:val="0"/>
              <w:autoSpaceDN w:val="0"/>
              <w:adjustRightInd w:val="0"/>
              <w:rPr>
                <w:rFonts w:ascii="Times New Roman" w:hAnsi="Times New Roman"/>
                <w:sz w:val="24"/>
              </w:rPr>
            </w:pPr>
          </w:p>
        </w:tc>
        <w:tc>
          <w:tcPr>
            <w:tcW w:w="630" w:type="dxa"/>
          </w:tcPr>
          <w:p w14:paraId="4F4D11CB" w14:textId="77777777" w:rsidR="00EF6C2E" w:rsidRPr="002A50B7" w:rsidRDefault="00EF6C2E" w:rsidP="009B17A7">
            <w:pPr>
              <w:widowControl w:val="0"/>
              <w:autoSpaceDE w:val="0"/>
              <w:autoSpaceDN w:val="0"/>
              <w:adjustRightInd w:val="0"/>
              <w:jc w:val="right"/>
              <w:rPr>
                <w:rFonts w:ascii="Times New Roman" w:hAnsi="Times New Roman"/>
                <w:sz w:val="24"/>
              </w:rPr>
            </w:pPr>
            <w:r w:rsidRPr="002A50B7">
              <w:rPr>
                <w:rFonts w:ascii="Times New Roman" w:hAnsi="Times New Roman"/>
                <w:sz w:val="24"/>
              </w:rPr>
              <w:t>18</w:t>
            </w:r>
          </w:p>
        </w:tc>
        <w:tc>
          <w:tcPr>
            <w:tcW w:w="895" w:type="dxa"/>
          </w:tcPr>
          <w:p w14:paraId="5AB0756E" w14:textId="77777777" w:rsidR="00EF6C2E" w:rsidRPr="002A50B7" w:rsidRDefault="00EF6C2E" w:rsidP="009B17A7">
            <w:pPr>
              <w:widowControl w:val="0"/>
              <w:autoSpaceDE w:val="0"/>
              <w:autoSpaceDN w:val="0"/>
              <w:adjustRightInd w:val="0"/>
              <w:jc w:val="right"/>
              <w:rPr>
                <w:rFonts w:ascii="Times New Roman" w:hAnsi="Times New Roman"/>
                <w:sz w:val="24"/>
              </w:rPr>
            </w:pPr>
            <w:r w:rsidRPr="002A50B7">
              <w:rPr>
                <w:rFonts w:ascii="Times New Roman" w:hAnsi="Times New Roman"/>
                <w:sz w:val="24"/>
              </w:rPr>
              <w:t>2.72</w:t>
            </w:r>
          </w:p>
        </w:tc>
      </w:tr>
      <w:tr w:rsidR="00EF6C2E" w:rsidRPr="002A50B7" w14:paraId="215FF2AE" w14:textId="77777777" w:rsidTr="009B17A7">
        <w:trPr>
          <w:trHeight w:val="710"/>
        </w:trPr>
        <w:tc>
          <w:tcPr>
            <w:tcW w:w="7205" w:type="dxa"/>
          </w:tcPr>
          <w:p w14:paraId="1954FA7F" w14:textId="77777777" w:rsidR="00EF6C2E" w:rsidRPr="002A50B7" w:rsidRDefault="00EF6C2E" w:rsidP="009B17A7">
            <w:pPr>
              <w:pStyle w:val="Heading2wide"/>
              <w:spacing w:before="240" w:after="120"/>
              <w:ind w:left="144" w:right="288"/>
              <w:rPr>
                <w:rFonts w:ascii="Times New Roman" w:hAnsi="Times New Roman" w:cs="Times New Roman"/>
                <w:color w:val="auto"/>
                <w:sz w:val="24"/>
              </w:rPr>
            </w:pPr>
            <w:r w:rsidRPr="002A50B7">
              <w:rPr>
                <w:rFonts w:ascii="Times New Roman" w:hAnsi="Times New Roman" w:cs="Times New Roman"/>
                <w:color w:val="auto"/>
                <w:sz w:val="24"/>
              </w:rPr>
              <w:t>Assessment Rubrics - Rubric</w:t>
            </w:r>
            <w:r w:rsidRPr="002A50B7">
              <w:rPr>
                <w:rFonts w:ascii="Times New Roman" w:hAnsi="Times New Roman" w:cs="Times New Roman"/>
                <w:color w:val="auto"/>
                <w:spacing w:val="-9"/>
                <w:sz w:val="24"/>
              </w:rPr>
              <w:t xml:space="preserve"> </w:t>
            </w:r>
            <w:r w:rsidRPr="002A50B7">
              <w:rPr>
                <w:rFonts w:ascii="Times New Roman" w:hAnsi="Times New Roman" w:cs="Times New Roman"/>
                <w:color w:val="auto"/>
                <w:sz w:val="24"/>
              </w:rPr>
              <w:t>12:</w:t>
            </w:r>
            <w:r w:rsidRPr="002A50B7">
              <w:rPr>
                <w:rFonts w:ascii="Times New Roman" w:hAnsi="Times New Roman" w:cs="Times New Roman"/>
                <w:color w:val="auto"/>
                <w:spacing w:val="-4"/>
                <w:sz w:val="24"/>
              </w:rPr>
              <w:t xml:space="preserve"> </w:t>
            </w:r>
            <w:r w:rsidRPr="002A50B7">
              <w:rPr>
                <w:rFonts w:ascii="Times New Roman" w:hAnsi="Times New Roman" w:cs="Times New Roman"/>
                <w:color w:val="auto"/>
                <w:sz w:val="24"/>
              </w:rPr>
              <w:t>Providing</w:t>
            </w:r>
            <w:r w:rsidRPr="002A50B7">
              <w:rPr>
                <w:rFonts w:ascii="Times New Roman" w:hAnsi="Times New Roman" w:cs="Times New Roman"/>
                <w:color w:val="auto"/>
                <w:spacing w:val="-13"/>
                <w:sz w:val="24"/>
              </w:rPr>
              <w:t xml:space="preserve"> </w:t>
            </w:r>
            <w:r w:rsidRPr="002A50B7">
              <w:rPr>
                <w:rFonts w:ascii="Times New Roman" w:hAnsi="Times New Roman" w:cs="Times New Roman"/>
                <w:color w:val="auto"/>
                <w:sz w:val="24"/>
              </w:rPr>
              <w:t>Feedback</w:t>
            </w:r>
            <w:r w:rsidRPr="002A50B7">
              <w:rPr>
                <w:rFonts w:ascii="Times New Roman" w:hAnsi="Times New Roman" w:cs="Times New Roman"/>
                <w:color w:val="auto"/>
                <w:spacing w:val="-13"/>
                <w:sz w:val="24"/>
              </w:rPr>
              <w:t xml:space="preserve"> </w:t>
            </w:r>
            <w:r w:rsidRPr="002A50B7">
              <w:rPr>
                <w:rFonts w:ascii="Times New Roman" w:hAnsi="Times New Roman" w:cs="Times New Roman"/>
                <w:color w:val="auto"/>
                <w:sz w:val="24"/>
              </w:rPr>
              <w:t>to</w:t>
            </w:r>
            <w:r w:rsidRPr="002A50B7">
              <w:rPr>
                <w:rFonts w:ascii="Times New Roman" w:hAnsi="Times New Roman" w:cs="Times New Roman"/>
                <w:color w:val="auto"/>
                <w:spacing w:val="-3"/>
                <w:sz w:val="24"/>
              </w:rPr>
              <w:t xml:space="preserve"> </w:t>
            </w:r>
            <w:r w:rsidRPr="002A50B7">
              <w:rPr>
                <w:rFonts w:ascii="Times New Roman" w:hAnsi="Times New Roman" w:cs="Times New Roman"/>
                <w:color w:val="auto"/>
                <w:sz w:val="24"/>
              </w:rPr>
              <w:t>Guide</w:t>
            </w:r>
            <w:r w:rsidRPr="002A50B7">
              <w:rPr>
                <w:rFonts w:ascii="Times New Roman" w:hAnsi="Times New Roman" w:cs="Times New Roman"/>
                <w:color w:val="auto"/>
                <w:spacing w:val="-8"/>
                <w:sz w:val="24"/>
              </w:rPr>
              <w:t xml:space="preserve"> Further </w:t>
            </w:r>
            <w:r w:rsidRPr="002A50B7">
              <w:rPr>
                <w:rFonts w:ascii="Times New Roman" w:hAnsi="Times New Roman" w:cs="Times New Roman"/>
                <w:color w:val="auto"/>
                <w:sz w:val="24"/>
              </w:rPr>
              <w:t>Learning</w:t>
            </w:r>
          </w:p>
          <w:p w14:paraId="6C1A903C" w14:textId="77777777" w:rsidR="00EF6C2E" w:rsidRPr="002A50B7" w:rsidRDefault="00EF6C2E" w:rsidP="009B17A7">
            <w:pPr>
              <w:pStyle w:val="Heading2wide"/>
              <w:spacing w:before="240" w:after="120"/>
              <w:ind w:left="144" w:right="288"/>
              <w:rPr>
                <w:rFonts w:ascii="Times New Roman" w:hAnsi="Times New Roman" w:cs="Times New Roman"/>
                <w:color w:val="auto"/>
                <w:sz w:val="24"/>
                <w:lang w:val="en-US"/>
              </w:rPr>
            </w:pPr>
            <w:r w:rsidRPr="002A50B7">
              <w:rPr>
                <w:rFonts w:ascii="Times New Roman" w:hAnsi="Times New Roman" w:cs="Times New Roman"/>
                <w:color w:val="auto"/>
                <w:sz w:val="24"/>
                <w:lang w:val="en-US"/>
              </w:rPr>
              <w:t xml:space="preserve">PRIMARY SOURCES OF </w:t>
            </w:r>
            <w:r w:rsidRPr="002A50B7">
              <w:rPr>
                <w:rFonts w:ascii="Times New Roman" w:hAnsi="Times New Roman" w:cs="Times New Roman"/>
                <w:color w:val="auto"/>
                <w:sz w:val="24"/>
              </w:rPr>
              <w:t xml:space="preserve">EVIDENCE: Assessment </w:t>
            </w:r>
            <w:r w:rsidRPr="002A50B7">
              <w:rPr>
                <w:rFonts w:ascii="Times New Roman" w:hAnsi="Times New Roman" w:cs="Times New Roman"/>
                <w:color w:val="auto"/>
                <w:sz w:val="24"/>
                <w:lang w:val="en-US"/>
              </w:rPr>
              <w:t>C</w:t>
            </w:r>
            <w:r w:rsidRPr="002A50B7">
              <w:rPr>
                <w:rFonts w:ascii="Times New Roman" w:hAnsi="Times New Roman" w:cs="Times New Roman"/>
                <w:color w:val="auto"/>
                <w:sz w:val="24"/>
              </w:rPr>
              <w:t xml:space="preserve">ommentary </w:t>
            </w:r>
            <w:r w:rsidRPr="002A50B7">
              <w:rPr>
                <w:rFonts w:ascii="Times New Roman" w:hAnsi="Times New Roman" w:cs="Times New Roman"/>
                <w:color w:val="auto"/>
                <w:sz w:val="24"/>
                <w:lang w:val="en-US"/>
              </w:rPr>
              <w:t>P</w:t>
            </w:r>
            <w:r w:rsidRPr="002A50B7">
              <w:rPr>
                <w:rFonts w:ascii="Times New Roman" w:hAnsi="Times New Roman" w:cs="Times New Roman"/>
                <w:color w:val="auto"/>
                <w:sz w:val="24"/>
              </w:rPr>
              <w:t>rompt</w:t>
            </w:r>
            <w:r w:rsidRPr="002A50B7">
              <w:rPr>
                <w:rFonts w:ascii="Times New Roman" w:hAnsi="Times New Roman" w:cs="Times New Roman"/>
                <w:color w:val="auto"/>
                <w:sz w:val="24"/>
                <w:lang w:val="en-US"/>
              </w:rPr>
              <w:t xml:space="preserve"> </w:t>
            </w:r>
            <w:r w:rsidRPr="002A50B7">
              <w:rPr>
                <w:rFonts w:ascii="Times New Roman" w:hAnsi="Times New Roman" w:cs="Times New Roman"/>
                <w:color w:val="auto"/>
                <w:sz w:val="24"/>
              </w:rPr>
              <w:t>2a</w:t>
            </w:r>
            <w:r w:rsidRPr="002A50B7">
              <w:rPr>
                <w:rFonts w:ascii="Times New Roman" w:hAnsi="Times New Roman" w:cs="Times New Roman"/>
                <w:color w:val="auto"/>
                <w:sz w:val="24"/>
                <w:lang w:val="en-US"/>
              </w:rPr>
              <w:t>-b; evidence of written, audio, or video feedback</w:t>
            </w:r>
          </w:p>
          <w:p w14:paraId="521C2D2E" w14:textId="77777777" w:rsidR="00EF6C2E" w:rsidRPr="002A50B7" w:rsidRDefault="00EF6C2E" w:rsidP="009B17A7">
            <w:pPr>
              <w:widowControl w:val="0"/>
              <w:autoSpaceDE w:val="0"/>
              <w:autoSpaceDN w:val="0"/>
              <w:adjustRightInd w:val="0"/>
              <w:rPr>
                <w:rFonts w:ascii="Times New Roman" w:hAnsi="Times New Roman"/>
                <w:sz w:val="24"/>
              </w:rPr>
            </w:pPr>
          </w:p>
        </w:tc>
        <w:tc>
          <w:tcPr>
            <w:tcW w:w="630" w:type="dxa"/>
          </w:tcPr>
          <w:p w14:paraId="1DFE2065" w14:textId="77777777" w:rsidR="00EF6C2E" w:rsidRPr="002A50B7" w:rsidRDefault="00EF6C2E" w:rsidP="009B17A7">
            <w:pPr>
              <w:widowControl w:val="0"/>
              <w:autoSpaceDE w:val="0"/>
              <w:autoSpaceDN w:val="0"/>
              <w:adjustRightInd w:val="0"/>
              <w:jc w:val="right"/>
              <w:rPr>
                <w:rFonts w:ascii="Times New Roman" w:hAnsi="Times New Roman"/>
                <w:sz w:val="24"/>
              </w:rPr>
            </w:pPr>
            <w:r w:rsidRPr="002A50B7">
              <w:rPr>
                <w:rFonts w:ascii="Times New Roman" w:hAnsi="Times New Roman"/>
                <w:sz w:val="24"/>
              </w:rPr>
              <w:t>18</w:t>
            </w:r>
          </w:p>
        </w:tc>
        <w:tc>
          <w:tcPr>
            <w:tcW w:w="895" w:type="dxa"/>
          </w:tcPr>
          <w:p w14:paraId="392D7EA3" w14:textId="77777777" w:rsidR="00EF6C2E" w:rsidRPr="002A50B7" w:rsidRDefault="00EF6C2E" w:rsidP="009B17A7">
            <w:pPr>
              <w:widowControl w:val="0"/>
              <w:autoSpaceDE w:val="0"/>
              <w:autoSpaceDN w:val="0"/>
              <w:adjustRightInd w:val="0"/>
              <w:jc w:val="right"/>
              <w:rPr>
                <w:rFonts w:ascii="Times New Roman" w:hAnsi="Times New Roman"/>
                <w:sz w:val="24"/>
              </w:rPr>
            </w:pPr>
            <w:r w:rsidRPr="002A50B7">
              <w:rPr>
                <w:rFonts w:ascii="Times New Roman" w:hAnsi="Times New Roman"/>
                <w:sz w:val="24"/>
              </w:rPr>
              <w:t>3.06</w:t>
            </w:r>
          </w:p>
        </w:tc>
      </w:tr>
      <w:tr w:rsidR="00EF6C2E" w:rsidRPr="002A50B7" w14:paraId="2FD9C873" w14:textId="77777777" w:rsidTr="009B17A7">
        <w:trPr>
          <w:trHeight w:val="260"/>
        </w:trPr>
        <w:tc>
          <w:tcPr>
            <w:tcW w:w="7205" w:type="dxa"/>
          </w:tcPr>
          <w:p w14:paraId="78EDD147" w14:textId="77777777" w:rsidR="00EF6C2E" w:rsidRPr="002A50B7" w:rsidRDefault="00EF6C2E" w:rsidP="009B17A7">
            <w:pPr>
              <w:pStyle w:val="Heading2wide"/>
              <w:spacing w:before="240" w:after="120"/>
              <w:ind w:left="144" w:right="720"/>
              <w:rPr>
                <w:rFonts w:ascii="Times New Roman" w:hAnsi="Times New Roman" w:cs="Times New Roman"/>
                <w:color w:val="auto"/>
                <w:sz w:val="24"/>
              </w:rPr>
            </w:pPr>
            <w:r w:rsidRPr="002A50B7">
              <w:rPr>
                <w:rFonts w:ascii="Times New Roman" w:hAnsi="Times New Roman" w:cs="Times New Roman"/>
                <w:color w:val="auto"/>
                <w:sz w:val="24"/>
              </w:rPr>
              <w:t>Assessment Rubrics - Rubric</w:t>
            </w:r>
            <w:r w:rsidRPr="002A50B7">
              <w:rPr>
                <w:rFonts w:ascii="Times New Roman" w:hAnsi="Times New Roman" w:cs="Times New Roman"/>
                <w:color w:val="auto"/>
                <w:spacing w:val="-9"/>
                <w:sz w:val="24"/>
              </w:rPr>
              <w:t xml:space="preserve"> </w:t>
            </w:r>
            <w:r w:rsidRPr="002A50B7">
              <w:rPr>
                <w:rFonts w:ascii="Times New Roman" w:hAnsi="Times New Roman" w:cs="Times New Roman"/>
                <w:color w:val="auto"/>
                <w:sz w:val="24"/>
              </w:rPr>
              <w:t>13:</w:t>
            </w:r>
            <w:r w:rsidRPr="002A50B7">
              <w:rPr>
                <w:rFonts w:ascii="Times New Roman" w:hAnsi="Times New Roman" w:cs="Times New Roman"/>
                <w:color w:val="auto"/>
                <w:spacing w:val="-4"/>
                <w:sz w:val="24"/>
              </w:rPr>
              <w:t xml:space="preserve"> </w:t>
            </w:r>
            <w:r w:rsidRPr="002A50B7">
              <w:rPr>
                <w:rFonts w:ascii="Times New Roman" w:hAnsi="Times New Roman" w:cs="Times New Roman"/>
                <w:color w:val="auto"/>
                <w:sz w:val="24"/>
              </w:rPr>
              <w:t>Student</w:t>
            </w:r>
            <w:r w:rsidRPr="002A50B7">
              <w:rPr>
                <w:rFonts w:ascii="Times New Roman" w:hAnsi="Times New Roman" w:cs="Times New Roman"/>
                <w:color w:val="auto"/>
                <w:spacing w:val="-10"/>
                <w:sz w:val="24"/>
              </w:rPr>
              <w:t xml:space="preserve"> Understanding and </w:t>
            </w:r>
            <w:r w:rsidRPr="002A50B7">
              <w:rPr>
                <w:rFonts w:ascii="Times New Roman" w:hAnsi="Times New Roman" w:cs="Times New Roman"/>
                <w:color w:val="auto"/>
                <w:sz w:val="24"/>
              </w:rPr>
              <w:t>Use</w:t>
            </w:r>
            <w:r w:rsidRPr="002A50B7">
              <w:rPr>
                <w:rFonts w:ascii="Times New Roman" w:hAnsi="Times New Roman" w:cs="Times New Roman"/>
                <w:color w:val="auto"/>
                <w:spacing w:val="-5"/>
                <w:sz w:val="24"/>
              </w:rPr>
              <w:t xml:space="preserve"> </w:t>
            </w:r>
            <w:r w:rsidRPr="002A50B7">
              <w:rPr>
                <w:rFonts w:ascii="Times New Roman" w:hAnsi="Times New Roman" w:cs="Times New Roman"/>
                <w:color w:val="auto"/>
                <w:sz w:val="24"/>
              </w:rPr>
              <w:t>of</w:t>
            </w:r>
            <w:r w:rsidRPr="002A50B7">
              <w:rPr>
                <w:rFonts w:ascii="Times New Roman" w:hAnsi="Times New Roman" w:cs="Times New Roman"/>
                <w:color w:val="auto"/>
                <w:spacing w:val="-3"/>
                <w:sz w:val="24"/>
              </w:rPr>
              <w:t xml:space="preserve"> </w:t>
            </w:r>
            <w:r w:rsidRPr="002A50B7">
              <w:rPr>
                <w:rFonts w:ascii="Times New Roman" w:hAnsi="Times New Roman" w:cs="Times New Roman"/>
                <w:color w:val="auto"/>
                <w:sz w:val="24"/>
              </w:rPr>
              <w:t>Feedback</w:t>
            </w:r>
          </w:p>
          <w:p w14:paraId="5682895A" w14:textId="77777777" w:rsidR="00EF6C2E" w:rsidRPr="002A50B7" w:rsidRDefault="00EF6C2E" w:rsidP="009B17A7">
            <w:pPr>
              <w:pStyle w:val="Heading2wide"/>
              <w:spacing w:before="240" w:after="120"/>
              <w:ind w:left="144" w:right="720"/>
              <w:rPr>
                <w:rFonts w:ascii="Times New Roman" w:hAnsi="Times New Roman" w:cs="Times New Roman"/>
                <w:color w:val="auto"/>
                <w:sz w:val="24"/>
                <w:lang w:val="en-US"/>
              </w:rPr>
            </w:pPr>
            <w:r w:rsidRPr="002A50B7">
              <w:rPr>
                <w:rFonts w:ascii="Times New Roman" w:hAnsi="Times New Roman" w:cs="Times New Roman"/>
                <w:color w:val="auto"/>
                <w:sz w:val="24"/>
                <w:lang w:val="en-US"/>
              </w:rPr>
              <w:t xml:space="preserve">PRIMARY SOURCES OF </w:t>
            </w:r>
            <w:r w:rsidRPr="002A50B7">
              <w:rPr>
                <w:rFonts w:ascii="Times New Roman" w:hAnsi="Times New Roman" w:cs="Times New Roman"/>
                <w:color w:val="auto"/>
                <w:sz w:val="24"/>
              </w:rPr>
              <w:t xml:space="preserve">EVIDENCE: Assessment </w:t>
            </w:r>
            <w:r w:rsidRPr="002A50B7">
              <w:rPr>
                <w:rFonts w:ascii="Times New Roman" w:hAnsi="Times New Roman" w:cs="Times New Roman"/>
                <w:color w:val="auto"/>
                <w:sz w:val="24"/>
                <w:lang w:val="en-US"/>
              </w:rPr>
              <w:t>C</w:t>
            </w:r>
            <w:r w:rsidRPr="002A50B7">
              <w:rPr>
                <w:rFonts w:ascii="Times New Roman" w:hAnsi="Times New Roman" w:cs="Times New Roman"/>
                <w:color w:val="auto"/>
                <w:sz w:val="24"/>
              </w:rPr>
              <w:t xml:space="preserve">ommentary </w:t>
            </w:r>
            <w:r w:rsidRPr="002A50B7">
              <w:rPr>
                <w:rFonts w:ascii="Times New Roman" w:hAnsi="Times New Roman" w:cs="Times New Roman"/>
                <w:color w:val="auto"/>
                <w:sz w:val="24"/>
                <w:lang w:val="en-US"/>
              </w:rPr>
              <w:t>P</w:t>
            </w:r>
            <w:r w:rsidRPr="002A50B7">
              <w:rPr>
                <w:rFonts w:ascii="Times New Roman" w:hAnsi="Times New Roman" w:cs="Times New Roman"/>
                <w:color w:val="auto"/>
                <w:sz w:val="24"/>
              </w:rPr>
              <w:t>rompt 2c</w:t>
            </w:r>
          </w:p>
          <w:p w14:paraId="68DC2593" w14:textId="77777777" w:rsidR="00EF6C2E" w:rsidRPr="002A50B7" w:rsidRDefault="00EF6C2E" w:rsidP="009B17A7">
            <w:pPr>
              <w:widowControl w:val="0"/>
              <w:autoSpaceDE w:val="0"/>
              <w:autoSpaceDN w:val="0"/>
              <w:adjustRightInd w:val="0"/>
              <w:rPr>
                <w:rFonts w:ascii="Times New Roman" w:hAnsi="Times New Roman"/>
                <w:sz w:val="24"/>
              </w:rPr>
            </w:pPr>
          </w:p>
        </w:tc>
        <w:tc>
          <w:tcPr>
            <w:tcW w:w="630" w:type="dxa"/>
          </w:tcPr>
          <w:p w14:paraId="609A571C" w14:textId="77777777" w:rsidR="00EF6C2E" w:rsidRPr="002A50B7" w:rsidRDefault="00EF6C2E" w:rsidP="009B17A7">
            <w:pPr>
              <w:widowControl w:val="0"/>
              <w:autoSpaceDE w:val="0"/>
              <w:autoSpaceDN w:val="0"/>
              <w:adjustRightInd w:val="0"/>
              <w:jc w:val="right"/>
              <w:rPr>
                <w:rFonts w:ascii="Times New Roman" w:hAnsi="Times New Roman"/>
                <w:sz w:val="24"/>
              </w:rPr>
            </w:pPr>
            <w:r w:rsidRPr="002A50B7">
              <w:rPr>
                <w:rFonts w:ascii="Times New Roman" w:hAnsi="Times New Roman"/>
                <w:sz w:val="24"/>
              </w:rPr>
              <w:t>18</w:t>
            </w:r>
          </w:p>
        </w:tc>
        <w:tc>
          <w:tcPr>
            <w:tcW w:w="895" w:type="dxa"/>
          </w:tcPr>
          <w:p w14:paraId="1C0CBDCB" w14:textId="77777777" w:rsidR="00EF6C2E" w:rsidRPr="002A50B7" w:rsidRDefault="00EF6C2E" w:rsidP="009B17A7">
            <w:pPr>
              <w:widowControl w:val="0"/>
              <w:autoSpaceDE w:val="0"/>
              <w:autoSpaceDN w:val="0"/>
              <w:adjustRightInd w:val="0"/>
              <w:jc w:val="right"/>
              <w:rPr>
                <w:rFonts w:ascii="Times New Roman" w:hAnsi="Times New Roman"/>
                <w:sz w:val="24"/>
              </w:rPr>
            </w:pPr>
            <w:r w:rsidRPr="002A50B7">
              <w:rPr>
                <w:rFonts w:ascii="Times New Roman" w:hAnsi="Times New Roman"/>
                <w:sz w:val="24"/>
              </w:rPr>
              <w:t>2.36</w:t>
            </w:r>
          </w:p>
        </w:tc>
      </w:tr>
      <w:tr w:rsidR="00EF6C2E" w:rsidRPr="002A50B7" w14:paraId="1BE7902B" w14:textId="77777777" w:rsidTr="009B17A7">
        <w:trPr>
          <w:trHeight w:val="710"/>
        </w:trPr>
        <w:tc>
          <w:tcPr>
            <w:tcW w:w="7205" w:type="dxa"/>
          </w:tcPr>
          <w:p w14:paraId="50EBA3FD" w14:textId="77777777" w:rsidR="00EF6C2E" w:rsidRPr="002A50B7" w:rsidRDefault="00EF6C2E" w:rsidP="009B17A7">
            <w:pPr>
              <w:pStyle w:val="Heading2wide"/>
              <w:spacing w:before="240" w:after="120"/>
              <w:ind w:left="144" w:right="720"/>
              <w:rPr>
                <w:rFonts w:ascii="Times New Roman" w:hAnsi="Times New Roman" w:cs="Times New Roman"/>
                <w:color w:val="auto"/>
                <w:spacing w:val="-5"/>
                <w:sz w:val="24"/>
              </w:rPr>
            </w:pPr>
            <w:r w:rsidRPr="002A50B7">
              <w:rPr>
                <w:rFonts w:ascii="Times New Roman" w:hAnsi="Times New Roman" w:cs="Times New Roman"/>
                <w:color w:val="auto"/>
                <w:sz w:val="24"/>
              </w:rPr>
              <w:t>Assessment Rubrics - Rubric</w:t>
            </w:r>
            <w:r w:rsidRPr="002A50B7">
              <w:rPr>
                <w:rFonts w:ascii="Times New Roman" w:hAnsi="Times New Roman" w:cs="Times New Roman"/>
                <w:color w:val="auto"/>
                <w:spacing w:val="-9"/>
                <w:sz w:val="24"/>
              </w:rPr>
              <w:t xml:space="preserve"> </w:t>
            </w:r>
            <w:r w:rsidRPr="002A50B7">
              <w:rPr>
                <w:rFonts w:ascii="Times New Roman" w:hAnsi="Times New Roman" w:cs="Times New Roman"/>
                <w:color w:val="auto"/>
                <w:sz w:val="24"/>
              </w:rPr>
              <w:t>14:</w:t>
            </w:r>
            <w:r w:rsidRPr="002A50B7">
              <w:rPr>
                <w:rFonts w:ascii="Times New Roman" w:hAnsi="Times New Roman" w:cs="Times New Roman"/>
                <w:color w:val="auto"/>
                <w:spacing w:val="-4"/>
                <w:sz w:val="24"/>
              </w:rPr>
              <w:t xml:space="preserve"> </w:t>
            </w:r>
            <w:r w:rsidRPr="002A50B7">
              <w:rPr>
                <w:rFonts w:ascii="Times New Roman" w:hAnsi="Times New Roman" w:cs="Times New Roman"/>
                <w:color w:val="auto"/>
                <w:sz w:val="24"/>
              </w:rPr>
              <w:t>Ana</w:t>
            </w:r>
            <w:r w:rsidRPr="002A50B7">
              <w:rPr>
                <w:rFonts w:ascii="Times New Roman" w:hAnsi="Times New Roman" w:cs="Times New Roman"/>
                <w:color w:val="auto"/>
                <w:spacing w:val="2"/>
                <w:sz w:val="24"/>
              </w:rPr>
              <w:t>l</w:t>
            </w:r>
            <w:r w:rsidRPr="002A50B7">
              <w:rPr>
                <w:rFonts w:ascii="Times New Roman" w:hAnsi="Times New Roman" w:cs="Times New Roman"/>
                <w:color w:val="auto"/>
                <w:sz w:val="24"/>
              </w:rPr>
              <w:t>yzing</w:t>
            </w:r>
            <w:r w:rsidRPr="002A50B7">
              <w:rPr>
                <w:rFonts w:ascii="Times New Roman" w:hAnsi="Times New Roman" w:cs="Times New Roman"/>
                <w:color w:val="auto"/>
                <w:spacing w:val="-13"/>
                <w:sz w:val="24"/>
              </w:rPr>
              <w:t xml:space="preserve"> </w:t>
            </w:r>
            <w:r w:rsidRPr="002A50B7">
              <w:rPr>
                <w:rFonts w:ascii="Times New Roman" w:hAnsi="Times New Roman" w:cs="Times New Roman"/>
                <w:color w:val="auto"/>
                <w:sz w:val="24"/>
              </w:rPr>
              <w:t>Students’</w:t>
            </w:r>
            <w:r w:rsidRPr="002A50B7">
              <w:rPr>
                <w:rFonts w:ascii="Times New Roman" w:hAnsi="Times New Roman" w:cs="Times New Roman"/>
                <w:color w:val="auto"/>
                <w:spacing w:val="-13"/>
                <w:sz w:val="24"/>
              </w:rPr>
              <w:t xml:space="preserve"> </w:t>
            </w:r>
            <w:r w:rsidRPr="002A50B7">
              <w:rPr>
                <w:rFonts w:ascii="Times New Roman" w:hAnsi="Times New Roman" w:cs="Times New Roman"/>
                <w:color w:val="auto"/>
                <w:sz w:val="24"/>
              </w:rPr>
              <w:t>Langu</w:t>
            </w:r>
            <w:r w:rsidRPr="002A50B7">
              <w:rPr>
                <w:rFonts w:ascii="Times New Roman" w:hAnsi="Times New Roman" w:cs="Times New Roman"/>
                <w:color w:val="auto"/>
                <w:spacing w:val="2"/>
                <w:sz w:val="24"/>
              </w:rPr>
              <w:t>a</w:t>
            </w:r>
            <w:r w:rsidRPr="002A50B7">
              <w:rPr>
                <w:rFonts w:ascii="Times New Roman" w:hAnsi="Times New Roman" w:cs="Times New Roman"/>
                <w:color w:val="auto"/>
                <w:sz w:val="24"/>
              </w:rPr>
              <w:t>ge</w:t>
            </w:r>
            <w:r w:rsidRPr="002A50B7">
              <w:rPr>
                <w:rFonts w:ascii="Times New Roman" w:hAnsi="Times New Roman" w:cs="Times New Roman"/>
                <w:color w:val="auto"/>
                <w:spacing w:val="-13"/>
                <w:sz w:val="24"/>
              </w:rPr>
              <w:t xml:space="preserve"> </w:t>
            </w:r>
            <w:r w:rsidRPr="002A50B7">
              <w:rPr>
                <w:rFonts w:ascii="Times New Roman" w:hAnsi="Times New Roman" w:cs="Times New Roman"/>
                <w:color w:val="auto"/>
                <w:sz w:val="24"/>
              </w:rPr>
              <w:t>Use</w:t>
            </w:r>
            <w:r w:rsidRPr="002A50B7">
              <w:rPr>
                <w:rFonts w:ascii="Times New Roman" w:hAnsi="Times New Roman" w:cs="Times New Roman"/>
                <w:color w:val="auto"/>
                <w:spacing w:val="-5"/>
                <w:sz w:val="24"/>
              </w:rPr>
              <w:t xml:space="preserve"> </w:t>
            </w:r>
            <w:r w:rsidRPr="002A50B7">
              <w:rPr>
                <w:rFonts w:ascii="Times New Roman" w:hAnsi="Times New Roman" w:cs="Times New Roman"/>
                <w:color w:val="auto"/>
                <w:sz w:val="24"/>
              </w:rPr>
              <w:t>and</w:t>
            </w:r>
            <w:r w:rsidRPr="002A50B7">
              <w:rPr>
                <w:rFonts w:ascii="Times New Roman" w:hAnsi="Times New Roman" w:cs="Times New Roman"/>
                <w:color w:val="auto"/>
                <w:spacing w:val="-5"/>
                <w:sz w:val="24"/>
              </w:rPr>
              <w:t xml:space="preserve"> Literacy Learning</w:t>
            </w:r>
          </w:p>
          <w:p w14:paraId="7AFF144C" w14:textId="77777777" w:rsidR="00EF6C2E" w:rsidRPr="002A50B7" w:rsidRDefault="00EF6C2E" w:rsidP="009B17A7">
            <w:pPr>
              <w:pStyle w:val="Heading2wide"/>
              <w:spacing w:before="240" w:after="120"/>
              <w:ind w:left="144" w:right="720"/>
              <w:rPr>
                <w:rFonts w:ascii="Times New Roman" w:hAnsi="Times New Roman" w:cs="Times New Roman"/>
                <w:color w:val="auto"/>
                <w:sz w:val="24"/>
                <w:lang w:val="en-US"/>
              </w:rPr>
            </w:pPr>
            <w:r w:rsidRPr="002A50B7">
              <w:rPr>
                <w:rFonts w:ascii="Times New Roman" w:hAnsi="Times New Roman" w:cs="Times New Roman"/>
                <w:color w:val="auto"/>
                <w:spacing w:val="-5"/>
                <w:sz w:val="24"/>
                <w:lang w:val="en-US"/>
              </w:rPr>
              <w:t xml:space="preserve">PRIMARY SOURCES OF </w:t>
            </w:r>
            <w:r w:rsidRPr="002A50B7">
              <w:rPr>
                <w:rFonts w:ascii="Times New Roman" w:hAnsi="Times New Roman" w:cs="Times New Roman"/>
                <w:color w:val="auto"/>
                <w:spacing w:val="-5"/>
                <w:sz w:val="24"/>
              </w:rPr>
              <w:t xml:space="preserve">EVIDENCE: Assessment </w:t>
            </w:r>
            <w:r w:rsidRPr="002A50B7">
              <w:rPr>
                <w:rFonts w:ascii="Times New Roman" w:hAnsi="Times New Roman" w:cs="Times New Roman"/>
                <w:color w:val="auto"/>
                <w:spacing w:val="-5"/>
                <w:sz w:val="24"/>
                <w:lang w:val="en-US"/>
              </w:rPr>
              <w:t>C</w:t>
            </w:r>
            <w:r w:rsidRPr="002A50B7">
              <w:rPr>
                <w:rFonts w:ascii="Times New Roman" w:hAnsi="Times New Roman" w:cs="Times New Roman"/>
                <w:color w:val="auto"/>
                <w:spacing w:val="-5"/>
                <w:sz w:val="24"/>
              </w:rPr>
              <w:t xml:space="preserve">ommentary </w:t>
            </w:r>
            <w:r w:rsidRPr="002A50B7">
              <w:rPr>
                <w:rFonts w:ascii="Times New Roman" w:hAnsi="Times New Roman" w:cs="Times New Roman"/>
                <w:color w:val="auto"/>
                <w:spacing w:val="-5"/>
                <w:sz w:val="24"/>
                <w:lang w:val="en-US"/>
              </w:rPr>
              <w:t>P</w:t>
            </w:r>
            <w:r w:rsidRPr="002A50B7">
              <w:rPr>
                <w:rFonts w:ascii="Times New Roman" w:hAnsi="Times New Roman" w:cs="Times New Roman"/>
                <w:color w:val="auto"/>
                <w:spacing w:val="-5"/>
                <w:sz w:val="24"/>
              </w:rPr>
              <w:t>rompt 3</w:t>
            </w:r>
            <w:r w:rsidRPr="002A50B7">
              <w:rPr>
                <w:rFonts w:ascii="Times New Roman" w:hAnsi="Times New Roman" w:cs="Times New Roman"/>
                <w:color w:val="auto"/>
                <w:spacing w:val="-5"/>
                <w:sz w:val="24"/>
                <w:lang w:val="en-US"/>
              </w:rPr>
              <w:t>; evidence of student language use (student work samples and/or video evidence from Instruction Video clips or separate Language Use clip in Assessment)</w:t>
            </w:r>
          </w:p>
          <w:p w14:paraId="26BA9D53" w14:textId="77777777" w:rsidR="00EF6C2E" w:rsidRPr="002A50B7" w:rsidRDefault="00EF6C2E" w:rsidP="009B17A7">
            <w:pPr>
              <w:widowControl w:val="0"/>
              <w:autoSpaceDE w:val="0"/>
              <w:autoSpaceDN w:val="0"/>
              <w:adjustRightInd w:val="0"/>
              <w:rPr>
                <w:rFonts w:ascii="Times New Roman" w:hAnsi="Times New Roman"/>
                <w:sz w:val="24"/>
              </w:rPr>
            </w:pPr>
          </w:p>
        </w:tc>
        <w:tc>
          <w:tcPr>
            <w:tcW w:w="630" w:type="dxa"/>
          </w:tcPr>
          <w:p w14:paraId="60323A6A" w14:textId="77777777" w:rsidR="00EF6C2E" w:rsidRPr="002A50B7" w:rsidRDefault="00EF6C2E" w:rsidP="009B17A7">
            <w:pPr>
              <w:widowControl w:val="0"/>
              <w:autoSpaceDE w:val="0"/>
              <w:autoSpaceDN w:val="0"/>
              <w:adjustRightInd w:val="0"/>
              <w:jc w:val="right"/>
              <w:rPr>
                <w:rFonts w:ascii="Times New Roman" w:hAnsi="Times New Roman"/>
                <w:sz w:val="24"/>
              </w:rPr>
            </w:pPr>
            <w:r w:rsidRPr="002A50B7">
              <w:rPr>
                <w:rFonts w:ascii="Times New Roman" w:hAnsi="Times New Roman"/>
                <w:sz w:val="24"/>
              </w:rPr>
              <w:t>18</w:t>
            </w:r>
          </w:p>
        </w:tc>
        <w:tc>
          <w:tcPr>
            <w:tcW w:w="895" w:type="dxa"/>
          </w:tcPr>
          <w:p w14:paraId="01F7D65E" w14:textId="77777777" w:rsidR="00EF6C2E" w:rsidRPr="002A50B7" w:rsidRDefault="00EF6C2E" w:rsidP="009B17A7">
            <w:pPr>
              <w:widowControl w:val="0"/>
              <w:autoSpaceDE w:val="0"/>
              <w:autoSpaceDN w:val="0"/>
              <w:adjustRightInd w:val="0"/>
              <w:jc w:val="right"/>
              <w:rPr>
                <w:rFonts w:ascii="Times New Roman" w:hAnsi="Times New Roman"/>
                <w:sz w:val="24"/>
              </w:rPr>
            </w:pPr>
            <w:r w:rsidRPr="002A50B7">
              <w:rPr>
                <w:rFonts w:ascii="Times New Roman" w:hAnsi="Times New Roman"/>
                <w:sz w:val="24"/>
              </w:rPr>
              <w:t>2.53</w:t>
            </w:r>
          </w:p>
        </w:tc>
      </w:tr>
      <w:tr w:rsidR="00EF6C2E" w:rsidRPr="002A50B7" w14:paraId="3BE11EC3" w14:textId="77777777" w:rsidTr="009B17A7">
        <w:trPr>
          <w:trHeight w:val="710"/>
        </w:trPr>
        <w:tc>
          <w:tcPr>
            <w:tcW w:w="7205" w:type="dxa"/>
          </w:tcPr>
          <w:p w14:paraId="1D92880F" w14:textId="77777777" w:rsidR="00EF6C2E" w:rsidRPr="002A50B7" w:rsidRDefault="00EF6C2E" w:rsidP="009B17A7">
            <w:pPr>
              <w:pStyle w:val="Heading2wide"/>
              <w:spacing w:before="240" w:after="120"/>
              <w:ind w:left="144" w:right="720"/>
              <w:rPr>
                <w:rFonts w:ascii="Times New Roman" w:hAnsi="Times New Roman" w:cs="Times New Roman"/>
                <w:color w:val="auto"/>
                <w:sz w:val="24"/>
              </w:rPr>
            </w:pPr>
            <w:r w:rsidRPr="002A50B7">
              <w:rPr>
                <w:rFonts w:ascii="Times New Roman" w:hAnsi="Times New Roman" w:cs="Times New Roman"/>
                <w:color w:val="auto"/>
                <w:sz w:val="24"/>
              </w:rPr>
              <w:t>Assessment Rubrics - Rubric</w:t>
            </w:r>
            <w:r w:rsidRPr="002A50B7">
              <w:rPr>
                <w:rFonts w:ascii="Times New Roman" w:hAnsi="Times New Roman" w:cs="Times New Roman"/>
                <w:color w:val="auto"/>
                <w:spacing w:val="-9"/>
                <w:sz w:val="24"/>
              </w:rPr>
              <w:t xml:space="preserve"> </w:t>
            </w:r>
            <w:r w:rsidRPr="002A50B7">
              <w:rPr>
                <w:rFonts w:ascii="Times New Roman" w:hAnsi="Times New Roman" w:cs="Times New Roman"/>
                <w:color w:val="auto"/>
                <w:sz w:val="24"/>
              </w:rPr>
              <w:t>15:</w:t>
            </w:r>
            <w:r w:rsidRPr="002A50B7">
              <w:rPr>
                <w:rFonts w:ascii="Times New Roman" w:hAnsi="Times New Roman" w:cs="Times New Roman"/>
                <w:color w:val="auto"/>
                <w:spacing w:val="-4"/>
                <w:sz w:val="24"/>
              </w:rPr>
              <w:t xml:space="preserve"> </w:t>
            </w:r>
            <w:r w:rsidRPr="002A50B7">
              <w:rPr>
                <w:rFonts w:ascii="Times New Roman" w:hAnsi="Times New Roman" w:cs="Times New Roman"/>
                <w:color w:val="auto"/>
                <w:sz w:val="24"/>
              </w:rPr>
              <w:t>Using</w:t>
            </w:r>
            <w:r w:rsidRPr="002A50B7">
              <w:rPr>
                <w:rFonts w:ascii="Times New Roman" w:hAnsi="Times New Roman" w:cs="Times New Roman"/>
                <w:color w:val="auto"/>
                <w:spacing w:val="-8"/>
                <w:sz w:val="24"/>
              </w:rPr>
              <w:t xml:space="preserve"> </w:t>
            </w:r>
            <w:r w:rsidRPr="002A50B7">
              <w:rPr>
                <w:rFonts w:ascii="Times New Roman" w:hAnsi="Times New Roman" w:cs="Times New Roman"/>
                <w:color w:val="auto"/>
                <w:sz w:val="24"/>
              </w:rPr>
              <w:t>Assessment</w:t>
            </w:r>
            <w:r w:rsidRPr="002A50B7">
              <w:rPr>
                <w:rFonts w:ascii="Times New Roman" w:hAnsi="Times New Roman" w:cs="Times New Roman"/>
                <w:color w:val="auto"/>
                <w:spacing w:val="-16"/>
                <w:sz w:val="24"/>
              </w:rPr>
              <w:t xml:space="preserve"> </w:t>
            </w:r>
            <w:r w:rsidRPr="002A50B7">
              <w:rPr>
                <w:rFonts w:ascii="Times New Roman" w:hAnsi="Times New Roman" w:cs="Times New Roman"/>
                <w:color w:val="auto"/>
                <w:sz w:val="24"/>
              </w:rPr>
              <w:t>to</w:t>
            </w:r>
            <w:r w:rsidRPr="002A50B7">
              <w:rPr>
                <w:rFonts w:ascii="Times New Roman" w:hAnsi="Times New Roman" w:cs="Times New Roman"/>
                <w:color w:val="auto"/>
                <w:spacing w:val="-3"/>
                <w:sz w:val="24"/>
              </w:rPr>
              <w:t xml:space="preserve"> </w:t>
            </w:r>
            <w:r w:rsidRPr="002A50B7">
              <w:rPr>
                <w:rFonts w:ascii="Times New Roman" w:hAnsi="Times New Roman" w:cs="Times New Roman"/>
                <w:color w:val="auto"/>
                <w:sz w:val="24"/>
              </w:rPr>
              <w:t>Inform</w:t>
            </w:r>
            <w:r w:rsidRPr="002A50B7">
              <w:rPr>
                <w:rFonts w:ascii="Times New Roman" w:hAnsi="Times New Roman" w:cs="Times New Roman"/>
                <w:color w:val="auto"/>
                <w:spacing w:val="-9"/>
                <w:sz w:val="24"/>
              </w:rPr>
              <w:t xml:space="preserve"> </w:t>
            </w:r>
            <w:r w:rsidRPr="002A50B7">
              <w:rPr>
                <w:rFonts w:ascii="Times New Roman" w:hAnsi="Times New Roman" w:cs="Times New Roman"/>
                <w:color w:val="auto"/>
                <w:sz w:val="24"/>
              </w:rPr>
              <w:t>Instruction</w:t>
            </w:r>
          </w:p>
          <w:p w14:paraId="197A680A" w14:textId="77777777" w:rsidR="00EF6C2E" w:rsidRPr="002A50B7" w:rsidRDefault="00EF6C2E" w:rsidP="009B17A7">
            <w:pPr>
              <w:pStyle w:val="Heading2wide"/>
              <w:spacing w:before="240" w:after="120"/>
              <w:ind w:left="144" w:right="720"/>
              <w:rPr>
                <w:rFonts w:ascii="Times New Roman" w:hAnsi="Times New Roman" w:cs="Times New Roman"/>
                <w:color w:val="auto"/>
                <w:sz w:val="24"/>
                <w:lang w:val="en-US"/>
              </w:rPr>
            </w:pPr>
            <w:r w:rsidRPr="002A50B7">
              <w:rPr>
                <w:rFonts w:ascii="Times New Roman" w:hAnsi="Times New Roman" w:cs="Times New Roman"/>
                <w:color w:val="auto"/>
                <w:sz w:val="24"/>
                <w:lang w:val="en-US"/>
              </w:rPr>
              <w:t xml:space="preserve">PRIMARY SOURCES OF </w:t>
            </w:r>
            <w:r w:rsidRPr="002A50B7">
              <w:rPr>
                <w:rFonts w:ascii="Times New Roman" w:hAnsi="Times New Roman" w:cs="Times New Roman"/>
                <w:color w:val="auto"/>
                <w:sz w:val="24"/>
              </w:rPr>
              <w:t xml:space="preserve">EVIDENCE: Assessment </w:t>
            </w:r>
            <w:r w:rsidRPr="002A50B7">
              <w:rPr>
                <w:rFonts w:ascii="Times New Roman" w:hAnsi="Times New Roman" w:cs="Times New Roman"/>
                <w:color w:val="auto"/>
                <w:sz w:val="24"/>
                <w:lang w:val="en-US"/>
              </w:rPr>
              <w:t>C</w:t>
            </w:r>
            <w:r w:rsidRPr="002A50B7">
              <w:rPr>
                <w:rFonts w:ascii="Times New Roman" w:hAnsi="Times New Roman" w:cs="Times New Roman"/>
                <w:color w:val="auto"/>
                <w:sz w:val="24"/>
              </w:rPr>
              <w:t xml:space="preserve">ommentary </w:t>
            </w:r>
            <w:r w:rsidRPr="002A50B7">
              <w:rPr>
                <w:rFonts w:ascii="Times New Roman" w:hAnsi="Times New Roman" w:cs="Times New Roman"/>
                <w:color w:val="auto"/>
                <w:sz w:val="24"/>
                <w:lang w:val="en-US"/>
              </w:rPr>
              <w:t>P</w:t>
            </w:r>
            <w:r w:rsidRPr="002A50B7">
              <w:rPr>
                <w:rFonts w:ascii="Times New Roman" w:hAnsi="Times New Roman" w:cs="Times New Roman"/>
                <w:color w:val="auto"/>
                <w:sz w:val="24"/>
              </w:rPr>
              <w:t>rompt</w:t>
            </w:r>
            <w:r w:rsidRPr="002A50B7">
              <w:rPr>
                <w:rFonts w:ascii="Times New Roman" w:hAnsi="Times New Roman" w:cs="Times New Roman"/>
                <w:color w:val="auto"/>
                <w:sz w:val="24"/>
                <w:lang w:val="en-US"/>
              </w:rPr>
              <w:t xml:space="preserve"> </w:t>
            </w:r>
            <w:r w:rsidRPr="002A50B7">
              <w:rPr>
                <w:rFonts w:ascii="Times New Roman" w:hAnsi="Times New Roman" w:cs="Times New Roman"/>
                <w:color w:val="auto"/>
                <w:sz w:val="24"/>
              </w:rPr>
              <w:t>4</w:t>
            </w:r>
          </w:p>
          <w:p w14:paraId="07F61124" w14:textId="77777777" w:rsidR="00EF6C2E" w:rsidRPr="002A50B7" w:rsidRDefault="00EF6C2E" w:rsidP="009B17A7">
            <w:pPr>
              <w:widowControl w:val="0"/>
              <w:autoSpaceDE w:val="0"/>
              <w:autoSpaceDN w:val="0"/>
              <w:adjustRightInd w:val="0"/>
              <w:rPr>
                <w:rFonts w:ascii="Times New Roman" w:hAnsi="Times New Roman"/>
                <w:sz w:val="24"/>
                <w:highlight w:val="yellow"/>
              </w:rPr>
            </w:pPr>
          </w:p>
        </w:tc>
        <w:tc>
          <w:tcPr>
            <w:tcW w:w="630" w:type="dxa"/>
          </w:tcPr>
          <w:p w14:paraId="05FC4CD3" w14:textId="77777777" w:rsidR="00EF6C2E" w:rsidRPr="002A50B7" w:rsidRDefault="00EF6C2E" w:rsidP="009B17A7">
            <w:pPr>
              <w:widowControl w:val="0"/>
              <w:autoSpaceDE w:val="0"/>
              <w:autoSpaceDN w:val="0"/>
              <w:adjustRightInd w:val="0"/>
              <w:jc w:val="right"/>
              <w:rPr>
                <w:rFonts w:ascii="Times New Roman" w:hAnsi="Times New Roman"/>
                <w:sz w:val="24"/>
                <w:highlight w:val="yellow"/>
              </w:rPr>
            </w:pPr>
            <w:r w:rsidRPr="002A50B7">
              <w:rPr>
                <w:rFonts w:ascii="Times New Roman" w:hAnsi="Times New Roman"/>
                <w:sz w:val="24"/>
              </w:rPr>
              <w:t>18</w:t>
            </w:r>
          </w:p>
        </w:tc>
        <w:tc>
          <w:tcPr>
            <w:tcW w:w="895" w:type="dxa"/>
          </w:tcPr>
          <w:p w14:paraId="3B1BFDB7" w14:textId="77777777" w:rsidR="00EF6C2E" w:rsidRPr="002A50B7" w:rsidRDefault="00EF6C2E" w:rsidP="009B17A7">
            <w:pPr>
              <w:widowControl w:val="0"/>
              <w:autoSpaceDE w:val="0"/>
              <w:autoSpaceDN w:val="0"/>
              <w:adjustRightInd w:val="0"/>
              <w:jc w:val="right"/>
              <w:rPr>
                <w:rFonts w:ascii="Times New Roman" w:hAnsi="Times New Roman"/>
                <w:sz w:val="24"/>
                <w:highlight w:val="yellow"/>
              </w:rPr>
            </w:pPr>
            <w:r w:rsidRPr="002A50B7">
              <w:rPr>
                <w:rFonts w:ascii="Times New Roman" w:hAnsi="Times New Roman"/>
                <w:sz w:val="24"/>
              </w:rPr>
              <w:t>2.56</w:t>
            </w:r>
          </w:p>
        </w:tc>
      </w:tr>
    </w:tbl>
    <w:p w14:paraId="4665EB0B" w14:textId="77777777" w:rsidR="00EF6C2E" w:rsidRDefault="00EF6C2E" w:rsidP="00EF6C2E"/>
    <w:p w14:paraId="4EF6D46B" w14:textId="77777777" w:rsidR="00EF6C2E" w:rsidRDefault="00EF6C2E" w:rsidP="00EF6C2E"/>
    <w:p w14:paraId="2E65B328" w14:textId="0994FF56" w:rsidR="00EF6C2E" w:rsidRPr="00EF6C2E" w:rsidRDefault="00EF6C2E" w:rsidP="00EF6C2E">
      <w:pPr>
        <w:rPr>
          <w:rFonts w:eastAsia="Calibri"/>
        </w:rPr>
      </w:pPr>
    </w:p>
    <w:bookmarkEnd w:id="1"/>
    <w:bookmarkEnd w:id="2"/>
    <w:p w14:paraId="01CD354F" w14:textId="4B948977" w:rsidR="00C776EE" w:rsidRDefault="00C776EE">
      <w:pPr>
        <w:rPr>
          <w:sz w:val="24"/>
          <w:szCs w:val="24"/>
          <w:u w:val="single"/>
        </w:rPr>
      </w:pPr>
    </w:p>
    <w:p w14:paraId="122C29F9" w14:textId="77777777" w:rsidR="00F11C24" w:rsidRDefault="00F11C24" w:rsidP="00C776EE">
      <w:pPr>
        <w:pStyle w:val="Heading2"/>
        <w:spacing w:before="120" w:after="120"/>
        <w:jc w:val="center"/>
        <w:rPr>
          <w:sz w:val="24"/>
          <w:szCs w:val="24"/>
        </w:rPr>
        <w:sectPr w:rsidR="00F11C24" w:rsidSect="006472BA">
          <w:pgSz w:w="12240" w:h="15840"/>
          <w:pgMar w:top="1440" w:right="1440" w:bottom="1440" w:left="1440" w:header="720" w:footer="720" w:gutter="0"/>
          <w:cols w:space="720"/>
          <w:titlePg/>
        </w:sectPr>
      </w:pPr>
    </w:p>
    <w:p w14:paraId="2659B294" w14:textId="77777777" w:rsidR="00826000" w:rsidRDefault="00826000" w:rsidP="00404561">
      <w:pPr>
        <w:jc w:val="center"/>
        <w:rPr>
          <w:rFonts w:ascii="Arial" w:hAnsi="Arial" w:cs="Arial"/>
          <w:sz w:val="2"/>
          <w:szCs w:val="2"/>
        </w:rPr>
      </w:pPr>
    </w:p>
    <w:sectPr w:rsidR="00826000" w:rsidSect="00F11C24">
      <w:footerReference w:type="default" r:id="rId15"/>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5B482" w14:textId="77777777" w:rsidR="00CF3923" w:rsidRDefault="00CF3923">
      <w:r>
        <w:separator/>
      </w:r>
    </w:p>
  </w:endnote>
  <w:endnote w:type="continuationSeparator" w:id="0">
    <w:p w14:paraId="7FABC184" w14:textId="77777777" w:rsidR="00CF3923" w:rsidRDefault="00CF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26063" w14:textId="77777777" w:rsidR="00EF076C" w:rsidRDefault="00EF076C" w:rsidP="006819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3886E4" w14:textId="77777777" w:rsidR="00EF076C" w:rsidRDefault="00EF076C" w:rsidP="000A73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F52A1" w14:textId="6275EDF1" w:rsidR="00EF076C" w:rsidRDefault="00EF076C" w:rsidP="006819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1D12">
      <w:rPr>
        <w:rStyle w:val="PageNumber"/>
        <w:noProof/>
      </w:rPr>
      <w:t>1</w:t>
    </w:r>
    <w:r>
      <w:rPr>
        <w:rStyle w:val="PageNumber"/>
      </w:rPr>
      <w:fldChar w:fldCharType="end"/>
    </w:r>
  </w:p>
  <w:p w14:paraId="55F1B2A5" w14:textId="0CD42752" w:rsidR="00EF076C" w:rsidRDefault="00EF076C" w:rsidP="007D776B">
    <w:pPr>
      <w:pStyle w:val="Footer"/>
      <w:ind w:right="360"/>
    </w:pPr>
    <w:r>
      <w:t>Eastern’s Rejoinder to BOE Report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E7419" w14:textId="52485E1E" w:rsidR="00EF076C" w:rsidRDefault="00EF076C" w:rsidP="005A01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1D12">
      <w:rPr>
        <w:rStyle w:val="PageNumber"/>
        <w:noProof/>
      </w:rPr>
      <w:t>12</w:t>
    </w:r>
    <w:r>
      <w:rPr>
        <w:rStyle w:val="PageNumber"/>
      </w:rPr>
      <w:fldChar w:fldCharType="end"/>
    </w:r>
  </w:p>
  <w:p w14:paraId="445C18A1" w14:textId="575FEAD7" w:rsidR="00EF076C" w:rsidRDefault="00EF076C" w:rsidP="005A0141">
    <w:pPr>
      <w:ind w:right="360"/>
    </w:pPr>
    <w:r>
      <w:rPr>
        <w:rStyle w:val="PageNumber"/>
      </w:rPr>
      <w:t>Eastern’s Rejoinder to BOE Report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E5080" w14:textId="77777777" w:rsidR="00EF076C" w:rsidRDefault="00EF07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733DA8" w14:textId="77777777" w:rsidR="00EF076C" w:rsidRDefault="00EF076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08596" w14:textId="5AF08B49" w:rsidR="00EA5A22" w:rsidRDefault="00EA5A22" w:rsidP="006819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4561">
      <w:rPr>
        <w:rStyle w:val="PageNumber"/>
        <w:noProof/>
      </w:rPr>
      <w:t>13</w:t>
    </w:r>
    <w:r>
      <w:rPr>
        <w:rStyle w:val="PageNumber"/>
      </w:rPr>
      <w:fldChar w:fldCharType="end"/>
    </w:r>
  </w:p>
  <w:p w14:paraId="5FF19BF7" w14:textId="0981BBD0" w:rsidR="00EA5A22" w:rsidRDefault="00826000" w:rsidP="007D776B">
    <w:pPr>
      <w:pStyle w:val="Footer"/>
      <w:ind w:right="360"/>
    </w:pPr>
    <w:r>
      <w:t>Eastern’s MOU with Windham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98CB5" w14:textId="77777777" w:rsidR="00CF3923" w:rsidRDefault="00CF3923">
      <w:r>
        <w:separator/>
      </w:r>
    </w:p>
  </w:footnote>
  <w:footnote w:type="continuationSeparator" w:id="0">
    <w:p w14:paraId="55FBC60C" w14:textId="77777777" w:rsidR="00CF3923" w:rsidRDefault="00CF3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64FFE" w14:textId="77777777" w:rsidR="00EF076C" w:rsidRPr="006D171E" w:rsidRDefault="00EF076C" w:rsidP="006D1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A6053" w14:textId="77777777" w:rsidR="00EF076C" w:rsidRDefault="00EF0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89ED4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10059"/>
    <w:multiLevelType w:val="hybridMultilevel"/>
    <w:tmpl w:val="1F6A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54B1F"/>
    <w:multiLevelType w:val="hybridMultilevel"/>
    <w:tmpl w:val="D390C20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FE69BB"/>
    <w:multiLevelType w:val="hybridMultilevel"/>
    <w:tmpl w:val="AA10C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B93D6D"/>
    <w:multiLevelType w:val="hybridMultilevel"/>
    <w:tmpl w:val="01EC1DF6"/>
    <w:lvl w:ilvl="0" w:tplc="81064F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2283E5A"/>
    <w:multiLevelType w:val="hybridMultilevel"/>
    <w:tmpl w:val="201A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C0E6D"/>
    <w:multiLevelType w:val="hybridMultilevel"/>
    <w:tmpl w:val="94F60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B3617"/>
    <w:multiLevelType w:val="hybridMultilevel"/>
    <w:tmpl w:val="D594441E"/>
    <w:lvl w:ilvl="0" w:tplc="04090001">
      <w:start w:val="1"/>
      <w:numFmt w:val="bullet"/>
      <w:lvlText w:val=""/>
      <w:lvlJc w:val="left"/>
      <w:pPr>
        <w:tabs>
          <w:tab w:val="num" w:pos="720"/>
        </w:tabs>
        <w:ind w:left="720" w:hanging="360"/>
      </w:pPr>
      <w:rPr>
        <w:rFonts w:ascii="Symbol" w:hAnsi="Symbol" w:hint="default"/>
      </w:rPr>
    </w:lvl>
    <w:lvl w:ilvl="1" w:tplc="99D8710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A65C8F"/>
    <w:multiLevelType w:val="hybridMultilevel"/>
    <w:tmpl w:val="0434A256"/>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27C65"/>
    <w:multiLevelType w:val="hybridMultilevel"/>
    <w:tmpl w:val="0A54A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B2556"/>
    <w:multiLevelType w:val="hybridMultilevel"/>
    <w:tmpl w:val="09D8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B26FA"/>
    <w:multiLevelType w:val="hybridMultilevel"/>
    <w:tmpl w:val="8FC2A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EE4907"/>
    <w:multiLevelType w:val="hybridMultilevel"/>
    <w:tmpl w:val="E834BA52"/>
    <w:lvl w:ilvl="0" w:tplc="93C0C4EE">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447240"/>
    <w:multiLevelType w:val="hybridMultilevel"/>
    <w:tmpl w:val="AEFA5E02"/>
    <w:lvl w:ilvl="0" w:tplc="5A642A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FA03F9D"/>
    <w:multiLevelType w:val="hybridMultilevel"/>
    <w:tmpl w:val="362A7596"/>
    <w:lvl w:ilvl="0" w:tplc="D13C6E7C">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nsid w:val="332B3A9F"/>
    <w:multiLevelType w:val="hybridMultilevel"/>
    <w:tmpl w:val="94F60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F162A9"/>
    <w:multiLevelType w:val="hybridMultilevel"/>
    <w:tmpl w:val="8396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382CC4"/>
    <w:multiLevelType w:val="hybridMultilevel"/>
    <w:tmpl w:val="94DE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095A58"/>
    <w:multiLevelType w:val="hybridMultilevel"/>
    <w:tmpl w:val="D15C3476"/>
    <w:lvl w:ilvl="0" w:tplc="172C6D4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AD70B45"/>
    <w:multiLevelType w:val="hybridMultilevel"/>
    <w:tmpl w:val="81BA1A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B7C486B"/>
    <w:multiLevelType w:val="hybridMultilevel"/>
    <w:tmpl w:val="45FEB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D242ED"/>
    <w:multiLevelType w:val="hybridMultilevel"/>
    <w:tmpl w:val="5A82BC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ED14F1"/>
    <w:multiLevelType w:val="hybridMultilevel"/>
    <w:tmpl w:val="23D4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7A78BA"/>
    <w:multiLevelType w:val="hybridMultilevel"/>
    <w:tmpl w:val="8D0EDEDE"/>
    <w:lvl w:ilvl="0" w:tplc="BBD2E8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78D2403"/>
    <w:multiLevelType w:val="hybridMultilevel"/>
    <w:tmpl w:val="F4B2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6A20F9"/>
    <w:multiLevelType w:val="hybridMultilevel"/>
    <w:tmpl w:val="0B947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246AA2"/>
    <w:multiLevelType w:val="hybridMultilevel"/>
    <w:tmpl w:val="360CE0EE"/>
    <w:lvl w:ilvl="0" w:tplc="499E9350">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0C31409"/>
    <w:multiLevelType w:val="hybridMultilevel"/>
    <w:tmpl w:val="82DA7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665594"/>
    <w:multiLevelType w:val="hybridMultilevel"/>
    <w:tmpl w:val="91B0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5B209B"/>
    <w:multiLevelType w:val="hybridMultilevel"/>
    <w:tmpl w:val="38DA95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BE0728B"/>
    <w:multiLevelType w:val="hybridMultilevel"/>
    <w:tmpl w:val="96D4ACB2"/>
    <w:lvl w:ilvl="0" w:tplc="978A300C">
      <w:start w:val="4"/>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D86223E"/>
    <w:multiLevelType w:val="hybridMultilevel"/>
    <w:tmpl w:val="1F183D2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2">
    <w:nsid w:val="6076646E"/>
    <w:multiLevelType w:val="hybridMultilevel"/>
    <w:tmpl w:val="5670582C"/>
    <w:lvl w:ilvl="0" w:tplc="499E9350">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1ED0178"/>
    <w:multiLevelType w:val="hybridMultilevel"/>
    <w:tmpl w:val="31E6B594"/>
    <w:lvl w:ilvl="0" w:tplc="5C940F3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5F82F4C"/>
    <w:multiLevelType w:val="hybridMultilevel"/>
    <w:tmpl w:val="78E6778A"/>
    <w:lvl w:ilvl="0" w:tplc="6628AD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D2564E"/>
    <w:multiLevelType w:val="hybridMultilevel"/>
    <w:tmpl w:val="58CC2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B62568"/>
    <w:multiLevelType w:val="hybridMultilevel"/>
    <w:tmpl w:val="41223AC2"/>
    <w:lvl w:ilvl="0" w:tplc="B0BA3B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E922C7D"/>
    <w:multiLevelType w:val="hybridMultilevel"/>
    <w:tmpl w:val="0434A256"/>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8349F4"/>
    <w:multiLevelType w:val="hybridMultilevel"/>
    <w:tmpl w:val="8FC2A102"/>
    <w:lvl w:ilvl="0" w:tplc="499E93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6B784F"/>
    <w:multiLevelType w:val="hybridMultilevel"/>
    <w:tmpl w:val="35BE218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95711F"/>
    <w:multiLevelType w:val="hybridMultilevel"/>
    <w:tmpl w:val="185C047C"/>
    <w:lvl w:ilvl="0" w:tplc="410CB5BA">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D107E1"/>
    <w:multiLevelType w:val="hybridMultilevel"/>
    <w:tmpl w:val="B56A479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706201"/>
    <w:multiLevelType w:val="hybridMultilevel"/>
    <w:tmpl w:val="F8E8A420"/>
    <w:lvl w:ilvl="0" w:tplc="F79CBD6A">
      <w:start w:val="1"/>
      <w:numFmt w:val="decimal"/>
      <w:lvlText w:val="%1."/>
      <w:lvlJc w:val="left"/>
      <w:pPr>
        <w:tabs>
          <w:tab w:val="num" w:pos="360"/>
        </w:tabs>
        <w:ind w:left="0" w:firstLine="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3">
    <w:nsid w:val="79F507A2"/>
    <w:multiLevelType w:val="hybridMultilevel"/>
    <w:tmpl w:val="4ABEE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E97D43"/>
    <w:multiLevelType w:val="hybridMultilevel"/>
    <w:tmpl w:val="7F18354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nsid w:val="7E600FBB"/>
    <w:multiLevelType w:val="hybridMultilevel"/>
    <w:tmpl w:val="43AED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3"/>
  </w:num>
  <w:num w:numId="3">
    <w:abstractNumId w:val="14"/>
  </w:num>
  <w:num w:numId="4">
    <w:abstractNumId w:val="42"/>
  </w:num>
  <w:num w:numId="5">
    <w:abstractNumId w:val="40"/>
  </w:num>
  <w:num w:numId="6">
    <w:abstractNumId w:val="4"/>
  </w:num>
  <w:num w:numId="7">
    <w:abstractNumId w:val="7"/>
  </w:num>
  <w:num w:numId="8">
    <w:abstractNumId w:val="25"/>
  </w:num>
  <w:num w:numId="9">
    <w:abstractNumId w:val="3"/>
  </w:num>
  <w:num w:numId="10">
    <w:abstractNumId w:val="13"/>
  </w:num>
  <w:num w:numId="11">
    <w:abstractNumId w:val="19"/>
  </w:num>
  <w:num w:numId="12">
    <w:abstractNumId w:val="18"/>
  </w:num>
  <w:num w:numId="13">
    <w:abstractNumId w:val="36"/>
  </w:num>
  <w:num w:numId="14">
    <w:abstractNumId w:val="23"/>
  </w:num>
  <w:num w:numId="15">
    <w:abstractNumId w:val="39"/>
  </w:num>
  <w:num w:numId="16">
    <w:abstractNumId w:val="45"/>
  </w:num>
  <w:num w:numId="17">
    <w:abstractNumId w:val="44"/>
  </w:num>
  <w:num w:numId="18">
    <w:abstractNumId w:val="43"/>
  </w:num>
  <w:num w:numId="19">
    <w:abstractNumId w:val="15"/>
  </w:num>
  <w:num w:numId="20">
    <w:abstractNumId w:val="20"/>
  </w:num>
  <w:num w:numId="21">
    <w:abstractNumId w:val="0"/>
  </w:num>
  <w:num w:numId="22">
    <w:abstractNumId w:val="9"/>
  </w:num>
  <w:num w:numId="23">
    <w:abstractNumId w:val="29"/>
  </w:num>
  <w:num w:numId="24">
    <w:abstractNumId w:val="28"/>
  </w:num>
  <w:num w:numId="25">
    <w:abstractNumId w:val="5"/>
  </w:num>
  <w:num w:numId="26">
    <w:abstractNumId w:val="27"/>
  </w:num>
  <w:num w:numId="27">
    <w:abstractNumId w:val="17"/>
  </w:num>
  <w:num w:numId="28">
    <w:abstractNumId w:val="21"/>
  </w:num>
  <w:num w:numId="29">
    <w:abstractNumId w:val="24"/>
  </w:num>
  <w:num w:numId="30">
    <w:abstractNumId w:val="32"/>
  </w:num>
  <w:num w:numId="31">
    <w:abstractNumId w:val="26"/>
  </w:num>
  <w:num w:numId="32">
    <w:abstractNumId w:val="38"/>
  </w:num>
  <w:num w:numId="33">
    <w:abstractNumId w:val="35"/>
  </w:num>
  <w:num w:numId="34">
    <w:abstractNumId w:val="2"/>
  </w:num>
  <w:num w:numId="35">
    <w:abstractNumId w:val="16"/>
  </w:num>
  <w:num w:numId="36">
    <w:abstractNumId w:val="6"/>
  </w:num>
  <w:num w:numId="37">
    <w:abstractNumId w:val="41"/>
  </w:num>
  <w:num w:numId="38">
    <w:abstractNumId w:val="12"/>
  </w:num>
  <w:num w:numId="39">
    <w:abstractNumId w:val="8"/>
  </w:num>
  <w:num w:numId="40">
    <w:abstractNumId w:val="37"/>
  </w:num>
  <w:num w:numId="41">
    <w:abstractNumId w:val="11"/>
  </w:num>
  <w:num w:numId="42">
    <w:abstractNumId w:val="31"/>
  </w:num>
  <w:num w:numId="43">
    <w:abstractNumId w:val="30"/>
  </w:num>
  <w:num w:numId="44">
    <w:abstractNumId w:val="22"/>
  </w:num>
  <w:num w:numId="45">
    <w:abstractNumId w:val="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34"/>
    <w:rsid w:val="00001DEC"/>
    <w:rsid w:val="00001F12"/>
    <w:rsid w:val="00005C44"/>
    <w:rsid w:val="00005C85"/>
    <w:rsid w:val="00006390"/>
    <w:rsid w:val="00010B9B"/>
    <w:rsid w:val="000115DC"/>
    <w:rsid w:val="0001246B"/>
    <w:rsid w:val="00017ABD"/>
    <w:rsid w:val="000208F2"/>
    <w:rsid w:val="000250FB"/>
    <w:rsid w:val="00031D41"/>
    <w:rsid w:val="000332FB"/>
    <w:rsid w:val="00036B1E"/>
    <w:rsid w:val="00040EE8"/>
    <w:rsid w:val="00042AD3"/>
    <w:rsid w:val="000447E9"/>
    <w:rsid w:val="0004788E"/>
    <w:rsid w:val="00053992"/>
    <w:rsid w:val="00055ECA"/>
    <w:rsid w:val="00056B82"/>
    <w:rsid w:val="0009707F"/>
    <w:rsid w:val="00097785"/>
    <w:rsid w:val="000A732C"/>
    <w:rsid w:val="000B3FC2"/>
    <w:rsid w:val="000B4249"/>
    <w:rsid w:val="000B7216"/>
    <w:rsid w:val="000C1057"/>
    <w:rsid w:val="000F47DE"/>
    <w:rsid w:val="000F62C9"/>
    <w:rsid w:val="000F7D6B"/>
    <w:rsid w:val="00106901"/>
    <w:rsid w:val="00122B78"/>
    <w:rsid w:val="00134221"/>
    <w:rsid w:val="00141800"/>
    <w:rsid w:val="00150CEA"/>
    <w:rsid w:val="001561AA"/>
    <w:rsid w:val="00157786"/>
    <w:rsid w:val="00170236"/>
    <w:rsid w:val="0017033D"/>
    <w:rsid w:val="0018229A"/>
    <w:rsid w:val="00184047"/>
    <w:rsid w:val="00184AEE"/>
    <w:rsid w:val="0019462A"/>
    <w:rsid w:val="001A0F81"/>
    <w:rsid w:val="001A1ACC"/>
    <w:rsid w:val="001A5309"/>
    <w:rsid w:val="001A6C53"/>
    <w:rsid w:val="001B3A34"/>
    <w:rsid w:val="001B3BD5"/>
    <w:rsid w:val="001B65B4"/>
    <w:rsid w:val="001C7FD7"/>
    <w:rsid w:val="001D0C06"/>
    <w:rsid w:val="001D6FDD"/>
    <w:rsid w:val="001E37CC"/>
    <w:rsid w:val="001F69DE"/>
    <w:rsid w:val="001F7A98"/>
    <w:rsid w:val="002009D0"/>
    <w:rsid w:val="0020121B"/>
    <w:rsid w:val="00202136"/>
    <w:rsid w:val="00213330"/>
    <w:rsid w:val="00220911"/>
    <w:rsid w:val="002234B9"/>
    <w:rsid w:val="00233BFD"/>
    <w:rsid w:val="002422D0"/>
    <w:rsid w:val="0026199D"/>
    <w:rsid w:val="0027289D"/>
    <w:rsid w:val="002747ED"/>
    <w:rsid w:val="00282837"/>
    <w:rsid w:val="00283D0B"/>
    <w:rsid w:val="00287A34"/>
    <w:rsid w:val="00292796"/>
    <w:rsid w:val="00293876"/>
    <w:rsid w:val="00297AD9"/>
    <w:rsid w:val="002A238C"/>
    <w:rsid w:val="002A2BE2"/>
    <w:rsid w:val="002B0D37"/>
    <w:rsid w:val="002B7D86"/>
    <w:rsid w:val="002C328F"/>
    <w:rsid w:val="002D204B"/>
    <w:rsid w:val="002E23E7"/>
    <w:rsid w:val="002F5D25"/>
    <w:rsid w:val="00304CE7"/>
    <w:rsid w:val="00304EB0"/>
    <w:rsid w:val="003072A4"/>
    <w:rsid w:val="00310074"/>
    <w:rsid w:val="0031186C"/>
    <w:rsid w:val="00314353"/>
    <w:rsid w:val="003143A5"/>
    <w:rsid w:val="00317F1B"/>
    <w:rsid w:val="00320A66"/>
    <w:rsid w:val="00322EF0"/>
    <w:rsid w:val="0032683B"/>
    <w:rsid w:val="00333CA9"/>
    <w:rsid w:val="003341E5"/>
    <w:rsid w:val="003508FB"/>
    <w:rsid w:val="003644FC"/>
    <w:rsid w:val="00365363"/>
    <w:rsid w:val="00393FD6"/>
    <w:rsid w:val="00396E7B"/>
    <w:rsid w:val="003A34D7"/>
    <w:rsid w:val="003A798C"/>
    <w:rsid w:val="003B7015"/>
    <w:rsid w:val="003C0499"/>
    <w:rsid w:val="003C4055"/>
    <w:rsid w:val="003E442A"/>
    <w:rsid w:val="003E576F"/>
    <w:rsid w:val="003E5FCC"/>
    <w:rsid w:val="003F2A08"/>
    <w:rsid w:val="003F4949"/>
    <w:rsid w:val="003F59C0"/>
    <w:rsid w:val="00401745"/>
    <w:rsid w:val="00404561"/>
    <w:rsid w:val="00405232"/>
    <w:rsid w:val="00414C50"/>
    <w:rsid w:val="00421058"/>
    <w:rsid w:val="00424FD5"/>
    <w:rsid w:val="00430C06"/>
    <w:rsid w:val="00435BD8"/>
    <w:rsid w:val="004662A6"/>
    <w:rsid w:val="0048016E"/>
    <w:rsid w:val="00483CC5"/>
    <w:rsid w:val="004852FF"/>
    <w:rsid w:val="00490208"/>
    <w:rsid w:val="004911E8"/>
    <w:rsid w:val="004A1BCF"/>
    <w:rsid w:val="004A6AF7"/>
    <w:rsid w:val="004C3998"/>
    <w:rsid w:val="004C3D54"/>
    <w:rsid w:val="004C71EB"/>
    <w:rsid w:val="004D24A3"/>
    <w:rsid w:val="004D2A95"/>
    <w:rsid w:val="004E4541"/>
    <w:rsid w:val="004F0126"/>
    <w:rsid w:val="004F0548"/>
    <w:rsid w:val="00500980"/>
    <w:rsid w:val="005021DB"/>
    <w:rsid w:val="00506EA3"/>
    <w:rsid w:val="005108B8"/>
    <w:rsid w:val="00514C02"/>
    <w:rsid w:val="00537793"/>
    <w:rsid w:val="0054016D"/>
    <w:rsid w:val="00541B02"/>
    <w:rsid w:val="005575D2"/>
    <w:rsid w:val="0056115F"/>
    <w:rsid w:val="00566B90"/>
    <w:rsid w:val="00573E90"/>
    <w:rsid w:val="00575BEB"/>
    <w:rsid w:val="00576F5D"/>
    <w:rsid w:val="00577A93"/>
    <w:rsid w:val="00591D87"/>
    <w:rsid w:val="005A0141"/>
    <w:rsid w:val="005A1009"/>
    <w:rsid w:val="005A464F"/>
    <w:rsid w:val="005B03A7"/>
    <w:rsid w:val="005B5579"/>
    <w:rsid w:val="005B77BB"/>
    <w:rsid w:val="005D0C6D"/>
    <w:rsid w:val="005D3192"/>
    <w:rsid w:val="005D7A94"/>
    <w:rsid w:val="005E1E54"/>
    <w:rsid w:val="005F2304"/>
    <w:rsid w:val="006009AA"/>
    <w:rsid w:val="006117D8"/>
    <w:rsid w:val="00611FE0"/>
    <w:rsid w:val="00620BE8"/>
    <w:rsid w:val="00623FA2"/>
    <w:rsid w:val="0062633A"/>
    <w:rsid w:val="00626932"/>
    <w:rsid w:val="0062784D"/>
    <w:rsid w:val="00637BC9"/>
    <w:rsid w:val="006434CF"/>
    <w:rsid w:val="00646D31"/>
    <w:rsid w:val="00646FC4"/>
    <w:rsid w:val="006472BA"/>
    <w:rsid w:val="00652916"/>
    <w:rsid w:val="006559C9"/>
    <w:rsid w:val="0066558E"/>
    <w:rsid w:val="006675DD"/>
    <w:rsid w:val="00670195"/>
    <w:rsid w:val="00670256"/>
    <w:rsid w:val="006713BE"/>
    <w:rsid w:val="00681057"/>
    <w:rsid w:val="00681924"/>
    <w:rsid w:val="00686409"/>
    <w:rsid w:val="006910D6"/>
    <w:rsid w:val="006A1686"/>
    <w:rsid w:val="006A4413"/>
    <w:rsid w:val="006B4026"/>
    <w:rsid w:val="006C2A0F"/>
    <w:rsid w:val="006C3C8E"/>
    <w:rsid w:val="006C580D"/>
    <w:rsid w:val="006D171E"/>
    <w:rsid w:val="006D2E7C"/>
    <w:rsid w:val="006D4681"/>
    <w:rsid w:val="006E0E25"/>
    <w:rsid w:val="006E2BD6"/>
    <w:rsid w:val="0070422A"/>
    <w:rsid w:val="00710B4A"/>
    <w:rsid w:val="00713E2F"/>
    <w:rsid w:val="00715C97"/>
    <w:rsid w:val="00720182"/>
    <w:rsid w:val="0072363E"/>
    <w:rsid w:val="00725233"/>
    <w:rsid w:val="00741803"/>
    <w:rsid w:val="0074586B"/>
    <w:rsid w:val="00746B79"/>
    <w:rsid w:val="00746F31"/>
    <w:rsid w:val="00771574"/>
    <w:rsid w:val="007716FB"/>
    <w:rsid w:val="00774304"/>
    <w:rsid w:val="00774F00"/>
    <w:rsid w:val="00791E4F"/>
    <w:rsid w:val="00792607"/>
    <w:rsid w:val="00796399"/>
    <w:rsid w:val="00796CC9"/>
    <w:rsid w:val="007A728D"/>
    <w:rsid w:val="007B353C"/>
    <w:rsid w:val="007C39CC"/>
    <w:rsid w:val="007C4DBF"/>
    <w:rsid w:val="007D776B"/>
    <w:rsid w:val="007E0753"/>
    <w:rsid w:val="007E31A4"/>
    <w:rsid w:val="007F1D12"/>
    <w:rsid w:val="007F2253"/>
    <w:rsid w:val="007F46B5"/>
    <w:rsid w:val="008002F4"/>
    <w:rsid w:val="00801303"/>
    <w:rsid w:val="00802AA9"/>
    <w:rsid w:val="00804A12"/>
    <w:rsid w:val="00826000"/>
    <w:rsid w:val="008543C6"/>
    <w:rsid w:val="00866FF6"/>
    <w:rsid w:val="00872318"/>
    <w:rsid w:val="00881CC6"/>
    <w:rsid w:val="00885831"/>
    <w:rsid w:val="008B2A94"/>
    <w:rsid w:val="008B3630"/>
    <w:rsid w:val="008C6A68"/>
    <w:rsid w:val="008C6BA1"/>
    <w:rsid w:val="008C72B9"/>
    <w:rsid w:val="008D3F11"/>
    <w:rsid w:val="008D4D31"/>
    <w:rsid w:val="008E360A"/>
    <w:rsid w:val="008E4EA7"/>
    <w:rsid w:val="008E6873"/>
    <w:rsid w:val="00904A91"/>
    <w:rsid w:val="009228D6"/>
    <w:rsid w:val="00950ADE"/>
    <w:rsid w:val="00961A73"/>
    <w:rsid w:val="00965C50"/>
    <w:rsid w:val="009671B3"/>
    <w:rsid w:val="0098351B"/>
    <w:rsid w:val="00993BC5"/>
    <w:rsid w:val="009954C7"/>
    <w:rsid w:val="009A10F8"/>
    <w:rsid w:val="009C078F"/>
    <w:rsid w:val="009C226F"/>
    <w:rsid w:val="009D27EB"/>
    <w:rsid w:val="009D4615"/>
    <w:rsid w:val="009E26C1"/>
    <w:rsid w:val="009E3D6C"/>
    <w:rsid w:val="009E7E64"/>
    <w:rsid w:val="009F167A"/>
    <w:rsid w:val="009F2456"/>
    <w:rsid w:val="00A10EAD"/>
    <w:rsid w:val="00A13491"/>
    <w:rsid w:val="00A17ACA"/>
    <w:rsid w:val="00A2644D"/>
    <w:rsid w:val="00A31046"/>
    <w:rsid w:val="00A344A2"/>
    <w:rsid w:val="00A43ADF"/>
    <w:rsid w:val="00A60043"/>
    <w:rsid w:val="00A6634A"/>
    <w:rsid w:val="00A6669A"/>
    <w:rsid w:val="00A70642"/>
    <w:rsid w:val="00A7213E"/>
    <w:rsid w:val="00A767A5"/>
    <w:rsid w:val="00A82EA4"/>
    <w:rsid w:val="00A833EA"/>
    <w:rsid w:val="00A9015F"/>
    <w:rsid w:val="00A96EA0"/>
    <w:rsid w:val="00AA3E38"/>
    <w:rsid w:val="00AA52CA"/>
    <w:rsid w:val="00AB5F7C"/>
    <w:rsid w:val="00AC6818"/>
    <w:rsid w:val="00AC7CFD"/>
    <w:rsid w:val="00AF0178"/>
    <w:rsid w:val="00AF2FF2"/>
    <w:rsid w:val="00AF72CA"/>
    <w:rsid w:val="00B00F7E"/>
    <w:rsid w:val="00B05624"/>
    <w:rsid w:val="00B07E16"/>
    <w:rsid w:val="00B114A8"/>
    <w:rsid w:val="00B2779E"/>
    <w:rsid w:val="00B354A9"/>
    <w:rsid w:val="00B37213"/>
    <w:rsid w:val="00B40996"/>
    <w:rsid w:val="00B45D16"/>
    <w:rsid w:val="00B5585C"/>
    <w:rsid w:val="00B67477"/>
    <w:rsid w:val="00B748F8"/>
    <w:rsid w:val="00B83666"/>
    <w:rsid w:val="00B85954"/>
    <w:rsid w:val="00B906FD"/>
    <w:rsid w:val="00B911A4"/>
    <w:rsid w:val="00B917F6"/>
    <w:rsid w:val="00B96BF1"/>
    <w:rsid w:val="00BA28DE"/>
    <w:rsid w:val="00BA4EC7"/>
    <w:rsid w:val="00BB105C"/>
    <w:rsid w:val="00BB1BCD"/>
    <w:rsid w:val="00BB47AF"/>
    <w:rsid w:val="00BB5CC0"/>
    <w:rsid w:val="00BB66E1"/>
    <w:rsid w:val="00BC1435"/>
    <w:rsid w:val="00BC6C39"/>
    <w:rsid w:val="00BD01D1"/>
    <w:rsid w:val="00BD1780"/>
    <w:rsid w:val="00BF288D"/>
    <w:rsid w:val="00BF68BD"/>
    <w:rsid w:val="00BF7D4F"/>
    <w:rsid w:val="00C1087C"/>
    <w:rsid w:val="00C210F5"/>
    <w:rsid w:val="00C239A5"/>
    <w:rsid w:val="00C3767E"/>
    <w:rsid w:val="00C434EA"/>
    <w:rsid w:val="00C460F7"/>
    <w:rsid w:val="00C47881"/>
    <w:rsid w:val="00C51F57"/>
    <w:rsid w:val="00C62FA4"/>
    <w:rsid w:val="00C776EE"/>
    <w:rsid w:val="00C8497D"/>
    <w:rsid w:val="00C85740"/>
    <w:rsid w:val="00C912B0"/>
    <w:rsid w:val="00C96274"/>
    <w:rsid w:val="00CA251C"/>
    <w:rsid w:val="00CA7A43"/>
    <w:rsid w:val="00CB47A1"/>
    <w:rsid w:val="00CC745B"/>
    <w:rsid w:val="00CF269A"/>
    <w:rsid w:val="00CF3923"/>
    <w:rsid w:val="00CF6F7B"/>
    <w:rsid w:val="00CF7D4E"/>
    <w:rsid w:val="00D01A3A"/>
    <w:rsid w:val="00D066F6"/>
    <w:rsid w:val="00D12E98"/>
    <w:rsid w:val="00D218E2"/>
    <w:rsid w:val="00D230C7"/>
    <w:rsid w:val="00D2393B"/>
    <w:rsid w:val="00D51E48"/>
    <w:rsid w:val="00D5230B"/>
    <w:rsid w:val="00D53C74"/>
    <w:rsid w:val="00D56AF9"/>
    <w:rsid w:val="00D57CD8"/>
    <w:rsid w:val="00D649E2"/>
    <w:rsid w:val="00D806D8"/>
    <w:rsid w:val="00D8247D"/>
    <w:rsid w:val="00D85579"/>
    <w:rsid w:val="00D93587"/>
    <w:rsid w:val="00D94CDC"/>
    <w:rsid w:val="00DA12B2"/>
    <w:rsid w:val="00DA30C9"/>
    <w:rsid w:val="00DA74EA"/>
    <w:rsid w:val="00DB2D27"/>
    <w:rsid w:val="00DB72B6"/>
    <w:rsid w:val="00DC671F"/>
    <w:rsid w:val="00DC6EF6"/>
    <w:rsid w:val="00DC797D"/>
    <w:rsid w:val="00DD1014"/>
    <w:rsid w:val="00DE27CF"/>
    <w:rsid w:val="00DF55F9"/>
    <w:rsid w:val="00DF5C12"/>
    <w:rsid w:val="00E10A13"/>
    <w:rsid w:val="00E10E9F"/>
    <w:rsid w:val="00E112D5"/>
    <w:rsid w:val="00E33FE8"/>
    <w:rsid w:val="00E468CC"/>
    <w:rsid w:val="00E5373C"/>
    <w:rsid w:val="00E55CD3"/>
    <w:rsid w:val="00E641B8"/>
    <w:rsid w:val="00E714F3"/>
    <w:rsid w:val="00E75EDA"/>
    <w:rsid w:val="00E9029D"/>
    <w:rsid w:val="00EA04F0"/>
    <w:rsid w:val="00EA23A1"/>
    <w:rsid w:val="00EA2672"/>
    <w:rsid w:val="00EA4EBD"/>
    <w:rsid w:val="00EA5A22"/>
    <w:rsid w:val="00EB0DC2"/>
    <w:rsid w:val="00EB4120"/>
    <w:rsid w:val="00EB67BE"/>
    <w:rsid w:val="00EC1468"/>
    <w:rsid w:val="00EC7758"/>
    <w:rsid w:val="00EC7BAF"/>
    <w:rsid w:val="00ED4179"/>
    <w:rsid w:val="00EE43F7"/>
    <w:rsid w:val="00EF076C"/>
    <w:rsid w:val="00EF29D8"/>
    <w:rsid w:val="00EF6C2E"/>
    <w:rsid w:val="00F03191"/>
    <w:rsid w:val="00F0520B"/>
    <w:rsid w:val="00F07A4C"/>
    <w:rsid w:val="00F11C24"/>
    <w:rsid w:val="00F16340"/>
    <w:rsid w:val="00F20ADD"/>
    <w:rsid w:val="00F309E2"/>
    <w:rsid w:val="00F35D15"/>
    <w:rsid w:val="00F36EC8"/>
    <w:rsid w:val="00F46586"/>
    <w:rsid w:val="00F55EC0"/>
    <w:rsid w:val="00F629BD"/>
    <w:rsid w:val="00F65B28"/>
    <w:rsid w:val="00F77C00"/>
    <w:rsid w:val="00F82524"/>
    <w:rsid w:val="00F83A38"/>
    <w:rsid w:val="00F840A5"/>
    <w:rsid w:val="00FA1B77"/>
    <w:rsid w:val="00FA5A4C"/>
    <w:rsid w:val="00FB452C"/>
    <w:rsid w:val="00FC2F4A"/>
    <w:rsid w:val="00FE50A0"/>
    <w:rsid w:val="00FF6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DB289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b/>
      <w:bCs/>
      <w:smallCaps/>
      <w:sz w:val="28"/>
    </w:rPr>
  </w:style>
  <w:style w:type="paragraph" w:styleId="Heading2">
    <w:name w:val="heading 2"/>
    <w:basedOn w:val="Normal"/>
    <w:next w:val="Normal"/>
    <w:link w:val="Heading2Char"/>
    <w:qFormat/>
    <w:pPr>
      <w:keepNext/>
      <w:outlineLvl w:val="1"/>
    </w:pPr>
    <w:rPr>
      <w:b/>
      <w:bCs/>
      <w:sz w:val="22"/>
    </w:rPr>
  </w:style>
  <w:style w:type="paragraph" w:styleId="Heading3">
    <w:name w:val="heading 3"/>
    <w:basedOn w:val="Normal"/>
    <w:next w:val="Normal"/>
    <w:link w:val="Heading3Char"/>
    <w:qFormat/>
    <w:pPr>
      <w:keepNext/>
      <w:ind w:left="72" w:right="162"/>
      <w:outlineLvl w:val="2"/>
    </w:pPr>
    <w:rPr>
      <w:b/>
      <w:bCs/>
      <w:sz w:val="22"/>
    </w:rPr>
  </w:style>
  <w:style w:type="paragraph" w:styleId="Heading4">
    <w:name w:val="heading 4"/>
    <w:basedOn w:val="Normal"/>
    <w:link w:val="Heading4Char"/>
    <w:qFormat/>
    <w:rsid w:val="00BA28DE"/>
    <w:pPr>
      <w:outlineLvl w:val="3"/>
    </w:pPr>
    <w:rPr>
      <w:rFonts w:eastAsia="Arial Unicode MS"/>
      <w:b/>
      <w:bCs/>
      <w:color w:val="000000"/>
    </w:rPr>
  </w:style>
  <w:style w:type="paragraph" w:styleId="Heading5">
    <w:name w:val="heading 5"/>
    <w:basedOn w:val="Normal"/>
    <w:link w:val="Heading5Char"/>
    <w:qFormat/>
    <w:rsid w:val="00BA28DE"/>
    <w:pPr>
      <w:outlineLvl w:val="4"/>
    </w:pPr>
    <w:rPr>
      <w:rFonts w:eastAsia="Arial Unicode MS"/>
      <w:b/>
      <w:bCs/>
      <w:color w:val="000000"/>
    </w:rPr>
  </w:style>
  <w:style w:type="paragraph" w:styleId="Heading6">
    <w:name w:val="heading 6"/>
    <w:basedOn w:val="Normal"/>
    <w:link w:val="Heading6Char"/>
    <w:qFormat/>
    <w:rsid w:val="00BA28DE"/>
    <w:pPr>
      <w:outlineLvl w:val="5"/>
    </w:pPr>
    <w:rPr>
      <w:rFonts w:eastAsia="Arial Unicode MS"/>
      <w:b/>
      <w:bCs/>
      <w:color w:val="000000"/>
    </w:rPr>
  </w:style>
  <w:style w:type="paragraph" w:styleId="Heading7">
    <w:name w:val="heading 7"/>
    <w:basedOn w:val="Normal"/>
    <w:next w:val="Normal"/>
    <w:link w:val="Heading7Char"/>
    <w:qFormat/>
    <w:rsid w:val="00BA28DE"/>
    <w:pPr>
      <w:keepNext/>
      <w:tabs>
        <w:tab w:val="left" w:pos="3240"/>
      </w:tabs>
      <w:outlineLvl w:val="6"/>
    </w:pPr>
    <w:rPr>
      <w:b/>
      <w:bCs/>
      <w:sz w:val="28"/>
      <w:szCs w:val="24"/>
    </w:rPr>
  </w:style>
  <w:style w:type="paragraph" w:styleId="Heading8">
    <w:name w:val="heading 8"/>
    <w:basedOn w:val="Normal"/>
    <w:next w:val="Normal"/>
    <w:link w:val="Heading8Char"/>
    <w:qFormat/>
    <w:rsid w:val="00BA28DE"/>
    <w:pPr>
      <w:keepNext/>
      <w:outlineLvl w:val="7"/>
    </w:pPr>
    <w:rPr>
      <w:b/>
      <w:bCs/>
      <w:sz w:val="24"/>
      <w:szCs w:val="24"/>
    </w:rPr>
  </w:style>
  <w:style w:type="paragraph" w:styleId="Heading9">
    <w:name w:val="heading 9"/>
    <w:basedOn w:val="Normal"/>
    <w:next w:val="Normal"/>
    <w:link w:val="Heading9Char"/>
    <w:qFormat/>
    <w:rsid w:val="00BA28DE"/>
    <w:pPr>
      <w:keepNext/>
      <w:jc w:val="both"/>
      <w:outlineLvl w:val="8"/>
    </w:pPr>
    <w:rPr>
      <w:rFonts w:eastAsia="Arial Unicode MS"/>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28DE"/>
    <w:rPr>
      <w:b/>
      <w:bCs/>
      <w:smallCaps/>
      <w:sz w:val="28"/>
    </w:rPr>
  </w:style>
  <w:style w:type="character" w:customStyle="1" w:styleId="Heading2Char">
    <w:name w:val="Heading 2 Char"/>
    <w:link w:val="Heading2"/>
    <w:rsid w:val="00010B9B"/>
    <w:rPr>
      <w:b/>
      <w:bCs/>
      <w:sz w:val="22"/>
    </w:rPr>
  </w:style>
  <w:style w:type="character" w:customStyle="1" w:styleId="Heading3Char">
    <w:name w:val="Heading 3 Char"/>
    <w:link w:val="Heading3"/>
    <w:rsid w:val="00BA28DE"/>
    <w:rPr>
      <w:b/>
      <w:bCs/>
      <w:sz w:val="22"/>
    </w:rPr>
  </w:style>
  <w:style w:type="character" w:customStyle="1" w:styleId="Heading4Char">
    <w:name w:val="Heading 4 Char"/>
    <w:link w:val="Heading4"/>
    <w:rsid w:val="00BA28DE"/>
    <w:rPr>
      <w:rFonts w:eastAsia="Arial Unicode MS"/>
      <w:b/>
      <w:bCs/>
      <w:color w:val="000000"/>
    </w:rPr>
  </w:style>
  <w:style w:type="character" w:customStyle="1" w:styleId="Heading5Char">
    <w:name w:val="Heading 5 Char"/>
    <w:link w:val="Heading5"/>
    <w:rsid w:val="00BA28DE"/>
    <w:rPr>
      <w:rFonts w:eastAsia="Arial Unicode MS"/>
      <w:b/>
      <w:bCs/>
      <w:color w:val="000000"/>
    </w:rPr>
  </w:style>
  <w:style w:type="character" w:customStyle="1" w:styleId="Heading6Char">
    <w:name w:val="Heading 6 Char"/>
    <w:link w:val="Heading6"/>
    <w:rsid w:val="00BA28DE"/>
    <w:rPr>
      <w:rFonts w:eastAsia="Arial Unicode MS"/>
      <w:b/>
      <w:bCs/>
      <w:color w:val="000000"/>
    </w:rPr>
  </w:style>
  <w:style w:type="character" w:customStyle="1" w:styleId="Heading7Char">
    <w:name w:val="Heading 7 Char"/>
    <w:link w:val="Heading7"/>
    <w:rsid w:val="00BA28DE"/>
    <w:rPr>
      <w:b/>
      <w:bCs/>
      <w:sz w:val="28"/>
      <w:szCs w:val="24"/>
    </w:rPr>
  </w:style>
  <w:style w:type="character" w:customStyle="1" w:styleId="Heading8Char">
    <w:name w:val="Heading 8 Char"/>
    <w:link w:val="Heading8"/>
    <w:rsid w:val="00BA28DE"/>
    <w:rPr>
      <w:b/>
      <w:bCs/>
      <w:sz w:val="24"/>
      <w:szCs w:val="24"/>
    </w:rPr>
  </w:style>
  <w:style w:type="character" w:customStyle="1" w:styleId="Heading9Char">
    <w:name w:val="Heading 9 Char"/>
    <w:link w:val="Heading9"/>
    <w:rsid w:val="00BA28DE"/>
    <w:rPr>
      <w:rFonts w:eastAsia="Arial Unicode MS"/>
      <w:b/>
      <w:bCs/>
      <w:color w:val="000000"/>
    </w:rPr>
  </w:style>
  <w:style w:type="paragraph" w:customStyle="1" w:styleId="BOEBodyText">
    <w:name w:val="BOE Body Text"/>
    <w:basedOn w:val="Normal"/>
    <w:pPr>
      <w:jc w:val="both"/>
    </w:pPr>
    <w:rPr>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sid w:val="00414C50"/>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010B9B"/>
  </w:style>
  <w:style w:type="character" w:styleId="PageNumber">
    <w:name w:val="page number"/>
    <w:basedOn w:val="DefaultParagraphFont"/>
    <w:uiPriority w:val="99"/>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010B9B"/>
  </w:style>
  <w:style w:type="paragraph" w:styleId="BodyText">
    <w:name w:val="Body Text"/>
    <w:basedOn w:val="Normal"/>
    <w:link w:val="BodyTextChar"/>
    <w:rPr>
      <w:rFonts w:ascii="Arial" w:hAnsi="Arial"/>
      <w:sz w:val="22"/>
    </w:rPr>
  </w:style>
  <w:style w:type="character" w:customStyle="1" w:styleId="BodyTextChar">
    <w:name w:val="Body Text Char"/>
    <w:link w:val="BodyText"/>
    <w:rsid w:val="00010B9B"/>
    <w:rPr>
      <w:rFonts w:ascii="Arial" w:hAnsi="Arial"/>
      <w:sz w:val="22"/>
    </w:rPr>
  </w:style>
  <w:style w:type="paragraph" w:styleId="FootnoteText">
    <w:name w:val="footnote text"/>
    <w:basedOn w:val="Normal"/>
    <w:semiHidden/>
  </w:style>
  <w:style w:type="paragraph" w:styleId="BodyTextIndent">
    <w:name w:val="Body Text Indent"/>
    <w:basedOn w:val="Normal"/>
    <w:link w:val="BodyTextIndentChar"/>
    <w:uiPriority w:val="99"/>
    <w:pPr>
      <w:ind w:left="720"/>
      <w:jc w:val="both"/>
    </w:pPr>
    <w:rPr>
      <w:bCs/>
    </w:rPr>
  </w:style>
  <w:style w:type="character" w:customStyle="1" w:styleId="BodyTextIndentChar">
    <w:name w:val="Body Text Indent Char"/>
    <w:link w:val="BodyTextIndent"/>
    <w:uiPriority w:val="99"/>
    <w:rsid w:val="00010B9B"/>
    <w:rPr>
      <w:bCs/>
    </w:rPr>
  </w:style>
  <w:style w:type="paragraph" w:styleId="NormalWeb">
    <w:name w:val="Normal (Web)"/>
    <w:basedOn w:val="Normal"/>
    <w:pPr>
      <w:spacing w:before="100" w:beforeAutospacing="1" w:after="100" w:afterAutospacing="1"/>
    </w:pPr>
    <w:rPr>
      <w:sz w:val="24"/>
      <w:szCs w:val="24"/>
    </w:rPr>
  </w:style>
  <w:style w:type="paragraph" w:styleId="Title">
    <w:name w:val="Title"/>
    <w:basedOn w:val="Normal"/>
    <w:link w:val="TitleChar"/>
    <w:qFormat/>
    <w:pPr>
      <w:jc w:val="center"/>
    </w:pPr>
    <w:rPr>
      <w:b/>
      <w:bCs/>
      <w:smallCaps/>
      <w:sz w:val="28"/>
    </w:rPr>
  </w:style>
  <w:style w:type="character" w:customStyle="1" w:styleId="TitleChar">
    <w:name w:val="Title Char"/>
    <w:link w:val="Title"/>
    <w:rsid w:val="00BA28DE"/>
    <w:rPr>
      <w:b/>
      <w:bCs/>
      <w:smallCaps/>
      <w:sz w:val="28"/>
    </w:rPr>
  </w:style>
  <w:style w:type="paragraph" w:styleId="CommentSubject">
    <w:name w:val="annotation subject"/>
    <w:basedOn w:val="CommentText"/>
    <w:next w:val="CommentText"/>
    <w:link w:val="CommentSubjectChar"/>
    <w:uiPriority w:val="99"/>
    <w:semiHidden/>
    <w:rsid w:val="00A6634A"/>
    <w:rPr>
      <w:b/>
      <w:bCs/>
    </w:rPr>
  </w:style>
  <w:style w:type="character" w:customStyle="1" w:styleId="CommentSubjectChar">
    <w:name w:val="Comment Subject Char"/>
    <w:link w:val="CommentSubject"/>
    <w:uiPriority w:val="99"/>
    <w:semiHidden/>
    <w:rsid w:val="00010B9B"/>
    <w:rPr>
      <w:b/>
      <w:bCs/>
    </w:rPr>
  </w:style>
  <w:style w:type="paragraph" w:styleId="BalloonText">
    <w:name w:val="Balloon Text"/>
    <w:basedOn w:val="Normal"/>
    <w:link w:val="BalloonTextChar"/>
    <w:uiPriority w:val="99"/>
    <w:semiHidden/>
    <w:rsid w:val="00A6634A"/>
    <w:rPr>
      <w:rFonts w:ascii="Tahoma" w:hAnsi="Tahoma" w:cs="Tahoma"/>
      <w:sz w:val="16"/>
      <w:szCs w:val="16"/>
    </w:rPr>
  </w:style>
  <w:style w:type="character" w:customStyle="1" w:styleId="BalloonTextChar">
    <w:name w:val="Balloon Text Char"/>
    <w:link w:val="BalloonText"/>
    <w:uiPriority w:val="99"/>
    <w:semiHidden/>
    <w:rsid w:val="00010B9B"/>
    <w:rPr>
      <w:rFonts w:ascii="Tahoma" w:hAnsi="Tahoma" w:cs="Tahoma"/>
      <w:sz w:val="16"/>
      <w:szCs w:val="16"/>
    </w:rPr>
  </w:style>
  <w:style w:type="table" w:styleId="TableGrid">
    <w:name w:val="Table Grid"/>
    <w:basedOn w:val="TableNormal"/>
    <w:uiPriority w:val="59"/>
    <w:rsid w:val="00414C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414C50"/>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
    <w:rsid w:val="00010B9B"/>
    <w:pPr>
      <w:spacing w:after="120"/>
    </w:pPr>
    <w:rPr>
      <w:sz w:val="16"/>
      <w:szCs w:val="16"/>
    </w:rPr>
  </w:style>
  <w:style w:type="character" w:customStyle="1" w:styleId="BodyText3Char">
    <w:name w:val="Body Text 3 Char"/>
    <w:link w:val="BodyText3"/>
    <w:rsid w:val="00010B9B"/>
    <w:rPr>
      <w:sz w:val="16"/>
      <w:szCs w:val="16"/>
    </w:rPr>
  </w:style>
  <w:style w:type="paragraph" w:customStyle="1" w:styleId="Default">
    <w:name w:val="Default"/>
    <w:rsid w:val="00010B9B"/>
    <w:pPr>
      <w:autoSpaceDE w:val="0"/>
      <w:autoSpaceDN w:val="0"/>
      <w:adjustRightInd w:val="0"/>
    </w:pPr>
    <w:rPr>
      <w:rFonts w:ascii="Book Antiqua" w:eastAsia="Calibri" w:hAnsi="Book Antiqua" w:cs="Book Antiqua"/>
      <w:color w:val="000000"/>
      <w:sz w:val="24"/>
      <w:szCs w:val="24"/>
    </w:rPr>
  </w:style>
  <w:style w:type="paragraph" w:customStyle="1" w:styleId="ColorfulList-Accent11">
    <w:name w:val="Colorful List - Accent 11"/>
    <w:basedOn w:val="Normal"/>
    <w:uiPriority w:val="34"/>
    <w:qFormat/>
    <w:rsid w:val="00010B9B"/>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010B9B"/>
    <w:rPr>
      <w:color w:val="0000FF"/>
      <w:u w:val="single"/>
    </w:rPr>
  </w:style>
  <w:style w:type="paragraph" w:customStyle="1" w:styleId="ColorfulList-Accent12">
    <w:name w:val="Colorful List - Accent 12"/>
    <w:basedOn w:val="Normal"/>
    <w:uiPriority w:val="34"/>
    <w:qFormat/>
    <w:rsid w:val="00010B9B"/>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BA28DE"/>
    <w:rPr>
      <w:rFonts w:eastAsia="Arial Unicode MS"/>
      <w:b/>
      <w:bCs/>
      <w:color w:val="000000"/>
      <w:sz w:val="24"/>
      <w:szCs w:val="24"/>
    </w:rPr>
  </w:style>
  <w:style w:type="character" w:customStyle="1" w:styleId="BodyText2Char">
    <w:name w:val="Body Text 2 Char"/>
    <w:link w:val="BodyText2"/>
    <w:rsid w:val="00BA28DE"/>
    <w:rPr>
      <w:rFonts w:eastAsia="Arial Unicode MS"/>
      <w:b/>
      <w:bCs/>
      <w:color w:val="000000"/>
      <w:sz w:val="24"/>
      <w:szCs w:val="24"/>
    </w:rPr>
  </w:style>
  <w:style w:type="character" w:styleId="Strong">
    <w:name w:val="Strong"/>
    <w:qFormat/>
    <w:rsid w:val="00BA28DE"/>
    <w:rPr>
      <w:b/>
      <w:bCs/>
    </w:rPr>
  </w:style>
  <w:style w:type="paragraph" w:customStyle="1" w:styleId="subtopic">
    <w:name w:val="subtopic"/>
    <w:basedOn w:val="Normal"/>
    <w:rsid w:val="00BA28DE"/>
    <w:pPr>
      <w:spacing w:before="100" w:beforeAutospacing="1" w:after="100" w:afterAutospacing="1"/>
    </w:pPr>
    <w:rPr>
      <w:rFonts w:ascii="Arial Unicode MS" w:eastAsia="Arial Unicode MS" w:hAnsi="Arial Unicode MS" w:cs="Arial Unicode MS"/>
      <w:sz w:val="24"/>
      <w:szCs w:val="24"/>
    </w:rPr>
  </w:style>
  <w:style w:type="character" w:styleId="HTMLCite">
    <w:name w:val="HTML Cite"/>
    <w:unhideWhenUsed/>
    <w:rsid w:val="00BA28DE"/>
    <w:rPr>
      <w:i/>
      <w:iCs/>
    </w:rPr>
  </w:style>
  <w:style w:type="character" w:customStyle="1" w:styleId="googqs-tidbit1">
    <w:name w:val="goog_qs-tidbit1"/>
    <w:rsid w:val="00BA28DE"/>
    <w:rPr>
      <w:vanish w:val="0"/>
      <w:webHidden w:val="0"/>
      <w:specVanish w:val="0"/>
    </w:rPr>
  </w:style>
  <w:style w:type="character" w:styleId="FollowedHyperlink">
    <w:name w:val="FollowedHyperlink"/>
    <w:uiPriority w:val="99"/>
    <w:unhideWhenUsed/>
    <w:rsid w:val="00BA28DE"/>
    <w:rPr>
      <w:color w:val="800080"/>
      <w:u w:val="single"/>
    </w:rPr>
  </w:style>
  <w:style w:type="paragraph" w:customStyle="1" w:styleId="CM32">
    <w:name w:val="CM32"/>
    <w:basedOn w:val="Default"/>
    <w:next w:val="Default"/>
    <w:uiPriority w:val="99"/>
    <w:rsid w:val="00BA28DE"/>
    <w:pPr>
      <w:widowControl w:val="0"/>
    </w:pPr>
    <w:rPr>
      <w:rFonts w:ascii="Times New Roman" w:eastAsia="Times New Roman" w:hAnsi="Times New Roman" w:cs="Times New Roman"/>
      <w:color w:val="auto"/>
    </w:rPr>
  </w:style>
  <w:style w:type="paragraph" w:customStyle="1" w:styleId="Heading2wide">
    <w:name w:val="Heading 2_wide"/>
    <w:basedOn w:val="Heading2"/>
    <w:rsid w:val="00C776EE"/>
    <w:pPr>
      <w:pBdr>
        <w:bottom w:val="single" w:sz="12" w:space="1" w:color="BF6900"/>
      </w:pBdr>
      <w:tabs>
        <w:tab w:val="left" w:pos="360"/>
        <w:tab w:val="left" w:pos="720"/>
        <w:tab w:val="left" w:pos="1080"/>
        <w:tab w:val="left" w:pos="1440"/>
        <w:tab w:val="left" w:pos="1800"/>
      </w:tabs>
      <w:spacing w:before="400" w:after="480"/>
      <w:ind w:right="-540"/>
    </w:pPr>
    <w:rPr>
      <w:rFonts w:ascii="Arial Bold" w:eastAsia="MS ??" w:hAnsi="Arial Bold" w:cs="Arial"/>
      <w:iCs/>
      <w:color w:val="A4001D"/>
      <w:sz w:val="36"/>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81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asternct.edu/graduate/accreditation/"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4FB28-460F-42B8-8649-8E046A8C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4743</Words>
  <Characters>26712</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GEORGIA PROFESSIONAL STANDARDS COMMISSION</vt:lpstr>
    </vt:vector>
  </TitlesOfParts>
  <Company>PSC</Company>
  <LinksUpToDate>false</LinksUpToDate>
  <CharactersWithSpaces>31393</CharactersWithSpaces>
  <SharedDoc>false</SharedDoc>
  <HLinks>
    <vt:vector size="18" baseType="variant">
      <vt:variant>
        <vt:i4>7077956</vt:i4>
      </vt:variant>
      <vt:variant>
        <vt:i4>6</vt:i4>
      </vt:variant>
      <vt:variant>
        <vt:i4>0</vt:i4>
      </vt:variant>
      <vt:variant>
        <vt:i4>5</vt:i4>
      </vt:variant>
      <vt:variant>
        <vt:lpwstr>http://www1.easternct.edu/newsflash/files/2014/10/20101100.pdf)</vt:lpwstr>
      </vt:variant>
      <vt:variant>
        <vt:lpwstr/>
      </vt:variant>
      <vt:variant>
        <vt:i4>7143493</vt:i4>
      </vt:variant>
      <vt:variant>
        <vt:i4>3</vt:i4>
      </vt:variant>
      <vt:variant>
        <vt:i4>0</vt:i4>
      </vt:variant>
      <vt:variant>
        <vt:i4>5</vt:i4>
      </vt:variant>
      <vt:variant>
        <vt:lpwstr>http://www1.easternct.edu/newsflash/files/2014/10/20110100.pdf)</vt:lpwstr>
      </vt:variant>
      <vt:variant>
        <vt:lpwstr/>
      </vt:variant>
      <vt:variant>
        <vt:i4>2556016</vt:i4>
      </vt:variant>
      <vt:variant>
        <vt:i4>0</vt:i4>
      </vt:variant>
      <vt:variant>
        <vt:i4>0</vt:i4>
      </vt:variant>
      <vt:variant>
        <vt:i4>5</vt:i4>
      </vt:variant>
      <vt:variant>
        <vt:lpwstr>http://www1.easternct.edu/graduate/teacher-certification/)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PROFESSIONAL STANDARDS COMMISSION</dc:title>
  <dc:subject/>
  <dc:creator>Sudha Swaminathan</dc:creator>
  <cp:keywords/>
  <cp:lastModifiedBy>Foley, Mark D.(Professional Studies)</cp:lastModifiedBy>
  <cp:revision>2</cp:revision>
  <cp:lastPrinted>2017-02-27T21:38:00Z</cp:lastPrinted>
  <dcterms:created xsi:type="dcterms:W3CDTF">2017-02-28T13:51:00Z</dcterms:created>
  <dcterms:modified xsi:type="dcterms:W3CDTF">2017-02-28T13:51:00Z</dcterms:modified>
</cp:coreProperties>
</file>