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7E7B8" w14:textId="77777777" w:rsidR="004923C0" w:rsidRPr="002A3DDB" w:rsidRDefault="004923C0" w:rsidP="004923C0">
      <w:pPr>
        <w:spacing w:before="50"/>
        <w:ind w:left="370"/>
        <w:jc w:val="center"/>
        <w:rPr>
          <w:rFonts w:ascii="Times New Roman" w:eastAsia="Times New Roman" w:hAnsi="Times New Roman" w:cs="Times New Roman"/>
          <w:sz w:val="24"/>
          <w:szCs w:val="24"/>
        </w:rPr>
      </w:pPr>
      <w:bookmarkStart w:id="0" w:name="_GoBack"/>
      <w:bookmarkEnd w:id="0"/>
      <w:r w:rsidRPr="002A3DDB">
        <w:rPr>
          <w:rFonts w:ascii="Times New Roman" w:hAnsi="Times New Roman" w:cs="Times New Roman"/>
          <w:b/>
          <w:w w:val="105"/>
          <w:sz w:val="24"/>
          <w:szCs w:val="24"/>
        </w:rPr>
        <w:t>Institutional Report Offsite Review</w:t>
      </w:r>
    </w:p>
    <w:p w14:paraId="6B21779A" w14:textId="3E930EF5" w:rsidR="004923C0" w:rsidRPr="002A3DDB" w:rsidRDefault="004923C0" w:rsidP="004923C0">
      <w:pPr>
        <w:pStyle w:val="Heading1"/>
        <w:tabs>
          <w:tab w:val="left" w:pos="10350"/>
        </w:tabs>
        <w:spacing w:line="274" w:lineRule="exact"/>
        <w:ind w:left="100" w:right="90"/>
        <w:rPr>
          <w:rFonts w:cs="Times New Roman"/>
          <w:b w:val="0"/>
          <w:bCs w:val="0"/>
        </w:rPr>
      </w:pPr>
      <w:r w:rsidRPr="002A3DDB">
        <w:rPr>
          <w:rFonts w:cs="Times New Roman"/>
        </w:rPr>
        <w:t xml:space="preserve">Institution/Agency/LEA:  </w:t>
      </w:r>
      <w:r w:rsidRPr="002A3DDB">
        <w:rPr>
          <w:rFonts w:cs="Times New Roman"/>
          <w:b w:val="0"/>
        </w:rPr>
        <w:t>Eastern Connecticut State</w:t>
      </w:r>
      <w:r w:rsidRPr="002A3DDB">
        <w:rPr>
          <w:rFonts w:cs="Times New Roman"/>
          <w:b w:val="0"/>
          <w:spacing w:val="-1"/>
        </w:rPr>
        <w:t xml:space="preserve"> </w:t>
      </w:r>
      <w:r w:rsidRPr="002A3DDB">
        <w:rPr>
          <w:rFonts w:cs="Times New Roman"/>
          <w:b w:val="0"/>
        </w:rPr>
        <w:t>University</w:t>
      </w:r>
      <w:r w:rsidRPr="002A3DDB">
        <w:rPr>
          <w:rFonts w:cs="Times New Roman"/>
        </w:rPr>
        <w:tab/>
        <w:t xml:space="preserve">Date: </w:t>
      </w:r>
      <w:r w:rsidRPr="002A3DDB">
        <w:rPr>
          <w:rFonts w:cs="Times New Roman"/>
          <w:b w:val="0"/>
        </w:rPr>
        <w:t xml:space="preserve">October </w:t>
      </w:r>
      <w:r w:rsidR="00A91989" w:rsidRPr="002A3DDB">
        <w:rPr>
          <w:rFonts w:cs="Times New Roman"/>
          <w:b w:val="0"/>
        </w:rPr>
        <w:t>31</w:t>
      </w:r>
      <w:r w:rsidRPr="002A3DDB">
        <w:rPr>
          <w:rFonts w:cs="Times New Roman"/>
          <w:b w:val="0"/>
        </w:rPr>
        <w:t>,</w:t>
      </w:r>
      <w:r w:rsidRPr="002A3DDB">
        <w:rPr>
          <w:rFonts w:cs="Times New Roman"/>
          <w:b w:val="0"/>
          <w:spacing w:val="-1"/>
        </w:rPr>
        <w:t xml:space="preserve"> </w:t>
      </w:r>
      <w:r w:rsidRPr="002A3DDB">
        <w:rPr>
          <w:rFonts w:cs="Times New Roman"/>
          <w:b w:val="0"/>
        </w:rPr>
        <w:t>2016</w:t>
      </w:r>
      <w:r w:rsidRPr="002A3DDB">
        <w:rPr>
          <w:rFonts w:cs="Times New Roman"/>
        </w:rPr>
        <w:t xml:space="preserve"> Developmental/Initial/Continuing On-site/Electronic Review: </w:t>
      </w:r>
      <w:r w:rsidRPr="002A3DDB">
        <w:rPr>
          <w:rFonts w:cs="Times New Roman"/>
          <w:b w:val="0"/>
        </w:rPr>
        <w:t>November 13-15,</w:t>
      </w:r>
      <w:r w:rsidRPr="002A3DDB">
        <w:rPr>
          <w:rFonts w:cs="Times New Roman"/>
          <w:b w:val="0"/>
          <w:spacing w:val="-2"/>
        </w:rPr>
        <w:t xml:space="preserve"> </w:t>
      </w:r>
      <w:r w:rsidRPr="002A3DDB">
        <w:rPr>
          <w:rFonts w:cs="Times New Roman"/>
          <w:b w:val="0"/>
        </w:rPr>
        <w:t>2016</w:t>
      </w:r>
    </w:p>
    <w:p w14:paraId="7DF62F3A" w14:textId="77777777" w:rsidR="004923C0" w:rsidRPr="002A3DDB" w:rsidRDefault="004923C0" w:rsidP="004923C0">
      <w:pPr>
        <w:rPr>
          <w:rFonts w:ascii="Times New Roman" w:eastAsia="Times New Roman" w:hAnsi="Times New Roman" w:cs="Times New Roman"/>
          <w:i/>
          <w:sz w:val="24"/>
          <w:szCs w:val="24"/>
        </w:rPr>
      </w:pPr>
    </w:p>
    <w:tbl>
      <w:tblPr>
        <w:tblStyle w:val="TableGrid"/>
        <w:tblW w:w="13950" w:type="dxa"/>
        <w:tblInd w:w="-545" w:type="dxa"/>
        <w:tblLook w:val="0600" w:firstRow="0" w:lastRow="0" w:firstColumn="0" w:lastColumn="0" w:noHBand="1" w:noVBand="1"/>
      </w:tblPr>
      <w:tblGrid>
        <w:gridCol w:w="1717"/>
        <w:gridCol w:w="2110"/>
        <w:gridCol w:w="2318"/>
        <w:gridCol w:w="7805"/>
      </w:tblGrid>
      <w:tr w:rsidR="00663043" w:rsidRPr="002A3DDB" w14:paraId="5E18F49C" w14:textId="77777777" w:rsidTr="0071625F">
        <w:trPr>
          <w:trHeight w:val="620"/>
        </w:trPr>
        <w:tc>
          <w:tcPr>
            <w:tcW w:w="1717" w:type="dxa"/>
            <w:vAlign w:val="center"/>
          </w:tcPr>
          <w:p w14:paraId="687EADA4" w14:textId="77777777" w:rsidR="00663043" w:rsidRPr="002A3DDB" w:rsidRDefault="00663043" w:rsidP="00B203AC">
            <w:pPr>
              <w:pStyle w:val="TableParagraph"/>
              <w:spacing w:line="273" w:lineRule="exact"/>
              <w:ind w:left="111"/>
              <w:jc w:val="center"/>
              <w:rPr>
                <w:rFonts w:ascii="Times New Roman" w:eastAsia="Times New Roman" w:hAnsi="Times New Roman" w:cs="Times New Roman"/>
                <w:sz w:val="24"/>
                <w:szCs w:val="24"/>
              </w:rPr>
            </w:pPr>
            <w:r w:rsidRPr="002A3DDB">
              <w:rPr>
                <w:rFonts w:ascii="Times New Roman" w:hAnsi="Times New Roman" w:cs="Times New Roman"/>
                <w:b/>
                <w:sz w:val="24"/>
                <w:szCs w:val="24"/>
              </w:rPr>
              <w:t>Standard</w:t>
            </w:r>
          </w:p>
        </w:tc>
        <w:tc>
          <w:tcPr>
            <w:tcW w:w="2110" w:type="dxa"/>
            <w:vAlign w:val="center"/>
          </w:tcPr>
          <w:p w14:paraId="5ED86A3B" w14:textId="77777777" w:rsidR="00663043" w:rsidRPr="002A3DDB" w:rsidRDefault="00663043" w:rsidP="00B203AC">
            <w:pPr>
              <w:pStyle w:val="TableParagraph"/>
              <w:spacing w:before="1" w:line="274" w:lineRule="exact"/>
              <w:ind w:left="254" w:right="248" w:firstLine="19"/>
              <w:jc w:val="center"/>
              <w:rPr>
                <w:rFonts w:ascii="Times New Roman" w:eastAsia="Times New Roman" w:hAnsi="Times New Roman" w:cs="Times New Roman"/>
                <w:sz w:val="24"/>
                <w:szCs w:val="24"/>
              </w:rPr>
            </w:pPr>
            <w:r w:rsidRPr="002A3DDB">
              <w:rPr>
                <w:rFonts w:ascii="Times New Roman" w:hAnsi="Times New Roman" w:cs="Times New Roman"/>
                <w:b/>
                <w:sz w:val="24"/>
                <w:szCs w:val="24"/>
              </w:rPr>
              <w:t>Offsite Findings</w:t>
            </w:r>
          </w:p>
        </w:tc>
        <w:tc>
          <w:tcPr>
            <w:tcW w:w="2318" w:type="dxa"/>
            <w:vAlign w:val="center"/>
          </w:tcPr>
          <w:p w14:paraId="2F704ABA" w14:textId="77777777" w:rsidR="00663043" w:rsidRPr="002A3DDB" w:rsidRDefault="00663043" w:rsidP="00B203AC">
            <w:pPr>
              <w:pStyle w:val="TableParagraph"/>
              <w:spacing w:line="273" w:lineRule="exact"/>
              <w:ind w:left="180"/>
              <w:jc w:val="center"/>
              <w:rPr>
                <w:rFonts w:ascii="Times New Roman" w:eastAsia="Times New Roman" w:hAnsi="Times New Roman" w:cs="Times New Roman"/>
                <w:sz w:val="24"/>
                <w:szCs w:val="24"/>
              </w:rPr>
            </w:pPr>
            <w:r w:rsidRPr="002A3DDB">
              <w:rPr>
                <w:rFonts w:ascii="Times New Roman" w:hAnsi="Times New Roman" w:cs="Times New Roman"/>
                <w:b/>
                <w:sz w:val="24"/>
                <w:szCs w:val="24"/>
              </w:rPr>
              <w:t>Areas of Concern to Meet Standards</w:t>
            </w:r>
          </w:p>
        </w:tc>
        <w:tc>
          <w:tcPr>
            <w:tcW w:w="7805" w:type="dxa"/>
            <w:vAlign w:val="center"/>
          </w:tcPr>
          <w:p w14:paraId="01EF8DA0" w14:textId="6B30DBF0" w:rsidR="00663043" w:rsidRPr="002A3DDB" w:rsidRDefault="00663043" w:rsidP="00B203AC">
            <w:pPr>
              <w:pStyle w:val="TableParagraph"/>
              <w:spacing w:before="1" w:line="274" w:lineRule="exact"/>
              <w:ind w:left="-69" w:right="-23"/>
              <w:jc w:val="center"/>
              <w:rPr>
                <w:rFonts w:ascii="Times New Roman" w:eastAsia="Times New Roman" w:hAnsi="Times New Roman" w:cs="Times New Roman"/>
                <w:sz w:val="24"/>
                <w:szCs w:val="24"/>
              </w:rPr>
            </w:pPr>
            <w:r w:rsidRPr="002A3DDB">
              <w:rPr>
                <w:rFonts w:ascii="Times New Roman" w:eastAsia="Times New Roman" w:hAnsi="Times New Roman" w:cs="Times New Roman"/>
                <w:b/>
                <w:bCs/>
                <w:sz w:val="24"/>
                <w:szCs w:val="24"/>
              </w:rPr>
              <w:t xml:space="preserve">Eastern’s </w:t>
            </w:r>
            <w:r w:rsidR="00B422E6" w:rsidRPr="002A3DDB">
              <w:rPr>
                <w:rFonts w:ascii="Times New Roman" w:eastAsia="Times New Roman" w:hAnsi="Times New Roman" w:cs="Times New Roman"/>
                <w:b/>
                <w:bCs/>
                <w:sz w:val="24"/>
                <w:szCs w:val="24"/>
              </w:rPr>
              <w:t>Response</w:t>
            </w:r>
          </w:p>
        </w:tc>
      </w:tr>
      <w:tr w:rsidR="00280A83" w:rsidRPr="002A3DDB" w14:paraId="442AFE41" w14:textId="77777777" w:rsidTr="0071625F">
        <w:trPr>
          <w:trHeight w:val="3320"/>
        </w:trPr>
        <w:tc>
          <w:tcPr>
            <w:tcW w:w="1717" w:type="dxa"/>
            <w:vMerge w:val="restart"/>
          </w:tcPr>
          <w:p w14:paraId="7E6CFB6F" w14:textId="77777777" w:rsidR="00280A83" w:rsidRPr="002A3DDB" w:rsidRDefault="00280A83" w:rsidP="00663043">
            <w:pPr>
              <w:jc w:val="center"/>
              <w:rPr>
                <w:rFonts w:ascii="Times New Roman" w:hAnsi="Times New Roman" w:cs="Times New Roman"/>
                <w:b/>
                <w:sz w:val="24"/>
                <w:szCs w:val="24"/>
              </w:rPr>
            </w:pPr>
          </w:p>
          <w:p w14:paraId="1BAEE024" w14:textId="77777777" w:rsidR="00F570DB" w:rsidRPr="002A3DDB" w:rsidRDefault="00F570DB" w:rsidP="00F570DB">
            <w:pPr>
              <w:rPr>
                <w:rFonts w:ascii="Times New Roman" w:hAnsi="Times New Roman" w:cs="Times New Roman"/>
                <w:b/>
                <w:sz w:val="24"/>
                <w:szCs w:val="24"/>
              </w:rPr>
            </w:pPr>
            <w:r w:rsidRPr="002A3DDB">
              <w:rPr>
                <w:rFonts w:ascii="Times New Roman" w:hAnsi="Times New Roman" w:cs="Times New Roman"/>
                <w:b/>
                <w:sz w:val="24"/>
                <w:szCs w:val="24"/>
              </w:rPr>
              <w:t xml:space="preserve">Standard </w:t>
            </w:r>
            <w:r w:rsidR="00280A83" w:rsidRPr="002A3DDB">
              <w:rPr>
                <w:rFonts w:ascii="Times New Roman" w:hAnsi="Times New Roman" w:cs="Times New Roman"/>
                <w:b/>
                <w:sz w:val="24"/>
                <w:szCs w:val="24"/>
              </w:rPr>
              <w:t>1</w:t>
            </w:r>
          </w:p>
          <w:p w14:paraId="17463905" w14:textId="77777777" w:rsidR="00F570DB" w:rsidRPr="002A3DDB" w:rsidRDefault="00F570DB" w:rsidP="00663043">
            <w:pPr>
              <w:jc w:val="center"/>
              <w:rPr>
                <w:rFonts w:ascii="Times New Roman" w:hAnsi="Times New Roman" w:cs="Times New Roman"/>
                <w:b/>
                <w:sz w:val="24"/>
                <w:szCs w:val="24"/>
              </w:rPr>
            </w:pPr>
          </w:p>
          <w:p w14:paraId="55F11AE5" w14:textId="7C0638EC" w:rsidR="00280A83" w:rsidRPr="002A3DDB" w:rsidRDefault="00F570DB" w:rsidP="00663043">
            <w:pPr>
              <w:jc w:val="center"/>
              <w:rPr>
                <w:rFonts w:ascii="Times New Roman" w:hAnsi="Times New Roman" w:cs="Times New Roman"/>
                <w:b/>
                <w:sz w:val="24"/>
                <w:szCs w:val="24"/>
              </w:rPr>
            </w:pPr>
            <w:r w:rsidRPr="002A3DDB">
              <w:rPr>
                <w:rFonts w:ascii="Times New Roman" w:hAnsi="Times New Roman" w:cs="Times New Roman"/>
                <w:b/>
                <w:sz w:val="24"/>
                <w:szCs w:val="24"/>
              </w:rPr>
              <w:t>Candidate Knowledge, Skills, and Professional Dispositions</w:t>
            </w:r>
          </w:p>
        </w:tc>
        <w:tc>
          <w:tcPr>
            <w:tcW w:w="2110" w:type="dxa"/>
            <w:vMerge w:val="restart"/>
          </w:tcPr>
          <w:p w14:paraId="5FEC0138" w14:textId="77777777" w:rsidR="00280A83" w:rsidRPr="002A3DDB" w:rsidRDefault="00280A83" w:rsidP="00663043">
            <w:pPr>
              <w:pStyle w:val="TableParagraph"/>
              <w:rPr>
                <w:rFonts w:ascii="Times New Roman" w:eastAsia="Times New Roman" w:hAnsi="Times New Roman" w:cs="Times New Roman"/>
                <w:b/>
                <w:bCs/>
                <w:sz w:val="24"/>
                <w:szCs w:val="24"/>
              </w:rPr>
            </w:pPr>
          </w:p>
          <w:p w14:paraId="08F487E5" w14:textId="3BC4EAC9" w:rsidR="00280A83" w:rsidRPr="002A3DDB" w:rsidRDefault="00F570DB" w:rsidP="00663043">
            <w:pPr>
              <w:rPr>
                <w:rFonts w:ascii="Times New Roman" w:hAnsi="Times New Roman" w:cs="Times New Roman"/>
                <w:sz w:val="24"/>
                <w:szCs w:val="24"/>
              </w:rPr>
            </w:pPr>
            <w:r w:rsidRPr="002A3DDB">
              <w:rPr>
                <w:rFonts w:ascii="Times New Roman" w:hAnsi="Times New Roman" w:cs="Times New Roman"/>
                <w:sz w:val="24"/>
                <w:szCs w:val="24"/>
              </w:rPr>
              <w:t>This standard was found to be unmet in the 2014 review</w:t>
            </w:r>
          </w:p>
        </w:tc>
        <w:tc>
          <w:tcPr>
            <w:tcW w:w="2318" w:type="dxa"/>
          </w:tcPr>
          <w:p w14:paraId="280E027B" w14:textId="77777777" w:rsidR="00280A83" w:rsidRPr="002A3DDB" w:rsidRDefault="00280A83">
            <w:pPr>
              <w:rPr>
                <w:rFonts w:ascii="Times New Roman" w:hAnsi="Times New Roman" w:cs="Times New Roman"/>
                <w:sz w:val="24"/>
                <w:szCs w:val="24"/>
              </w:rPr>
            </w:pPr>
          </w:p>
          <w:p w14:paraId="3C81FB8E" w14:textId="77777777" w:rsidR="00280A83" w:rsidRPr="002A3DDB" w:rsidRDefault="00280A83">
            <w:pPr>
              <w:rPr>
                <w:rFonts w:ascii="Times New Roman" w:hAnsi="Times New Roman" w:cs="Times New Roman"/>
                <w:sz w:val="24"/>
                <w:szCs w:val="24"/>
              </w:rPr>
            </w:pPr>
            <w:r w:rsidRPr="002A3DDB">
              <w:rPr>
                <w:rFonts w:ascii="Times New Roman" w:hAnsi="Times New Roman" w:cs="Times New Roman"/>
                <w:sz w:val="24"/>
                <w:szCs w:val="24"/>
              </w:rPr>
              <w:t>1. Not all programs are recognized by their respective SPA.</w:t>
            </w:r>
          </w:p>
        </w:tc>
        <w:tc>
          <w:tcPr>
            <w:tcW w:w="7805" w:type="dxa"/>
          </w:tcPr>
          <w:p w14:paraId="5D2B50E9" w14:textId="77777777" w:rsidR="00332B57" w:rsidRPr="002A3DDB" w:rsidRDefault="00332B57" w:rsidP="00131134">
            <w:pPr>
              <w:rPr>
                <w:rFonts w:ascii="Times New Roman" w:hAnsi="Times New Roman" w:cs="Times New Roman"/>
                <w:sz w:val="24"/>
                <w:szCs w:val="24"/>
              </w:rPr>
            </w:pPr>
          </w:p>
          <w:p w14:paraId="7F8B940F" w14:textId="77777777" w:rsidR="0071625F" w:rsidRPr="002A3DDB" w:rsidRDefault="0071625F" w:rsidP="00131134">
            <w:pPr>
              <w:rPr>
                <w:rFonts w:ascii="Times New Roman" w:hAnsi="Times New Roman" w:cs="Times New Roman"/>
                <w:sz w:val="24"/>
                <w:szCs w:val="24"/>
              </w:rPr>
            </w:pPr>
            <w:r w:rsidRPr="002A3DDB">
              <w:rPr>
                <w:rFonts w:ascii="Times New Roman" w:hAnsi="Times New Roman" w:cs="Times New Roman"/>
                <w:sz w:val="24"/>
                <w:szCs w:val="24"/>
              </w:rPr>
              <w:t>The only programs that have not been recognized by their SPAs are Elementary Education and Secondary Math Education.</w:t>
            </w:r>
          </w:p>
          <w:p w14:paraId="4D1EEF48" w14:textId="77777777" w:rsidR="0071625F" w:rsidRPr="002A3DDB" w:rsidRDefault="0071625F" w:rsidP="00131134">
            <w:pPr>
              <w:rPr>
                <w:rFonts w:ascii="Times New Roman" w:hAnsi="Times New Roman" w:cs="Times New Roman"/>
                <w:sz w:val="24"/>
                <w:szCs w:val="24"/>
              </w:rPr>
            </w:pPr>
          </w:p>
          <w:p w14:paraId="59C1427A" w14:textId="1C3EA9F8" w:rsidR="00280A83" w:rsidRPr="002A3DDB" w:rsidRDefault="00131134" w:rsidP="00131134">
            <w:pPr>
              <w:rPr>
                <w:rFonts w:ascii="Times New Roman" w:hAnsi="Times New Roman" w:cs="Times New Roman"/>
                <w:sz w:val="24"/>
                <w:szCs w:val="24"/>
              </w:rPr>
            </w:pPr>
            <w:r w:rsidRPr="002A3DDB">
              <w:rPr>
                <w:rFonts w:ascii="Times New Roman" w:hAnsi="Times New Roman" w:cs="Times New Roman"/>
                <w:sz w:val="24"/>
                <w:szCs w:val="24"/>
                <w:u w:val="single"/>
              </w:rPr>
              <w:t>Elementary Education</w:t>
            </w:r>
            <w:r w:rsidRPr="002A3DDB">
              <w:rPr>
                <w:rFonts w:ascii="Times New Roman" w:hAnsi="Times New Roman" w:cs="Times New Roman"/>
                <w:sz w:val="24"/>
                <w:szCs w:val="24"/>
              </w:rPr>
              <w:t xml:space="preserve"> Undergraduate SPA (Recognized wi</w:t>
            </w:r>
            <w:r w:rsidR="0071625F" w:rsidRPr="002A3DDB">
              <w:rPr>
                <w:rFonts w:ascii="Times New Roman" w:hAnsi="Times New Roman" w:cs="Times New Roman"/>
                <w:sz w:val="24"/>
                <w:szCs w:val="24"/>
              </w:rPr>
              <w:t xml:space="preserve">th conditions) has been revised, </w:t>
            </w:r>
            <w:r w:rsidRPr="002A3DDB">
              <w:rPr>
                <w:rFonts w:ascii="Times New Roman" w:hAnsi="Times New Roman" w:cs="Times New Roman"/>
                <w:sz w:val="24"/>
                <w:szCs w:val="24"/>
              </w:rPr>
              <w:t xml:space="preserve">paying particular attention to data requirements, comingling of standards, </w:t>
            </w:r>
            <w:r w:rsidR="00A91989" w:rsidRPr="002A3DDB">
              <w:rPr>
                <w:rFonts w:ascii="Times New Roman" w:hAnsi="Times New Roman" w:cs="Times New Roman"/>
                <w:sz w:val="24"/>
                <w:szCs w:val="24"/>
              </w:rPr>
              <w:t xml:space="preserve">and clarifying </w:t>
            </w:r>
            <w:r w:rsidRPr="002A3DDB">
              <w:rPr>
                <w:rFonts w:ascii="Times New Roman" w:hAnsi="Times New Roman" w:cs="Times New Roman"/>
                <w:sz w:val="24"/>
                <w:szCs w:val="24"/>
              </w:rPr>
              <w:t xml:space="preserve">reporting of grades by NCATE criteria.  It has been re-submitted for approval in September 2016.  Please see </w:t>
            </w:r>
            <w:r w:rsidR="002A3DDB">
              <w:rPr>
                <w:rFonts w:ascii="Times New Roman" w:hAnsi="Times New Roman" w:cs="Times New Roman"/>
                <w:sz w:val="24"/>
                <w:szCs w:val="24"/>
              </w:rPr>
              <w:t xml:space="preserve">Appendix C1 </w:t>
            </w:r>
            <w:r w:rsidRPr="002A3DDB">
              <w:rPr>
                <w:rFonts w:ascii="Times New Roman" w:hAnsi="Times New Roman" w:cs="Times New Roman"/>
                <w:sz w:val="24"/>
                <w:szCs w:val="24"/>
              </w:rPr>
              <w:t>for the submitted report.</w:t>
            </w:r>
          </w:p>
          <w:p w14:paraId="662023E0" w14:textId="77777777" w:rsidR="00131134" w:rsidRPr="002A3DDB" w:rsidRDefault="00131134" w:rsidP="00131134">
            <w:pPr>
              <w:rPr>
                <w:rFonts w:ascii="Times New Roman" w:hAnsi="Times New Roman" w:cs="Times New Roman"/>
                <w:sz w:val="24"/>
                <w:szCs w:val="24"/>
              </w:rPr>
            </w:pPr>
          </w:p>
          <w:p w14:paraId="7A0D353E" w14:textId="6E60FA88" w:rsidR="00131134" w:rsidRPr="002A3DDB" w:rsidRDefault="00131134" w:rsidP="0013113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Elementary Education Graduate SPA has been revised and resubmitted for approval in September 2016.  The concerns raised by the reviewers, such as addressing all standards, aligning assessments to ACEI standards, presenting adequate data, reporting grades as per NCATE criteria, among others, were carefully addressed.  Data were discussed clearly with explicit narration of how the results were used for program improvements.  Please see </w:t>
            </w:r>
            <w:r w:rsidR="002A3DDB">
              <w:rPr>
                <w:rFonts w:ascii="Times New Roman" w:hAnsi="Times New Roman" w:cs="Times New Roman"/>
                <w:sz w:val="24"/>
                <w:szCs w:val="24"/>
              </w:rPr>
              <w:t>Appendix C2</w:t>
            </w:r>
            <w:r w:rsidR="00A91989" w:rsidRPr="002A3DDB">
              <w:rPr>
                <w:rFonts w:ascii="Times New Roman" w:hAnsi="Times New Roman" w:cs="Times New Roman"/>
                <w:sz w:val="24"/>
                <w:szCs w:val="24"/>
              </w:rPr>
              <w:t xml:space="preserve"> </w:t>
            </w:r>
            <w:r w:rsidRPr="002A3DDB">
              <w:rPr>
                <w:rFonts w:ascii="Times New Roman" w:hAnsi="Times New Roman" w:cs="Times New Roman"/>
                <w:sz w:val="24"/>
                <w:szCs w:val="24"/>
              </w:rPr>
              <w:t>for the submitted reports.</w:t>
            </w:r>
          </w:p>
          <w:p w14:paraId="0D8C8F60" w14:textId="77777777" w:rsidR="00131134" w:rsidRPr="002A3DDB" w:rsidRDefault="00131134" w:rsidP="00131134">
            <w:pPr>
              <w:spacing w:before="240" w:after="160"/>
              <w:contextualSpacing/>
              <w:rPr>
                <w:rFonts w:ascii="Times New Roman" w:hAnsi="Times New Roman" w:cs="Times New Roman"/>
                <w:sz w:val="24"/>
                <w:szCs w:val="24"/>
              </w:rPr>
            </w:pPr>
          </w:p>
          <w:p w14:paraId="6C934899" w14:textId="5CDD2B19" w:rsidR="00131134" w:rsidRPr="002A3DDB" w:rsidRDefault="00131134" w:rsidP="00536631">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u w:val="single"/>
              </w:rPr>
              <w:t>Secondary Math Education</w:t>
            </w:r>
            <w:r w:rsidR="0071625F" w:rsidRPr="002A3DDB">
              <w:rPr>
                <w:rFonts w:ascii="Times New Roman" w:hAnsi="Times New Roman" w:cs="Times New Roman"/>
                <w:sz w:val="24"/>
                <w:szCs w:val="24"/>
              </w:rPr>
              <w:t xml:space="preserve"> </w:t>
            </w:r>
            <w:r w:rsidRPr="002A3DDB">
              <w:rPr>
                <w:rFonts w:ascii="Times New Roman" w:hAnsi="Times New Roman" w:cs="Times New Roman"/>
                <w:sz w:val="24"/>
                <w:szCs w:val="24"/>
              </w:rPr>
              <w:t xml:space="preserve"> (Undergraduate and Graduate) have a recognition status that </w:t>
            </w:r>
            <w:r w:rsidR="0071625F" w:rsidRPr="002A3DDB">
              <w:rPr>
                <w:rFonts w:ascii="Times New Roman" w:hAnsi="Times New Roman" w:cs="Times New Roman"/>
                <w:sz w:val="24"/>
                <w:szCs w:val="24"/>
              </w:rPr>
              <w:t>has</w:t>
            </w:r>
            <w:r w:rsidRPr="002A3DDB">
              <w:rPr>
                <w:rFonts w:ascii="Times New Roman" w:hAnsi="Times New Roman" w:cs="Times New Roman"/>
                <w:sz w:val="24"/>
                <w:szCs w:val="24"/>
              </w:rPr>
              <w:t xml:space="preserve"> expired. </w:t>
            </w:r>
            <w:r w:rsidR="00536631" w:rsidRPr="002A3DDB">
              <w:rPr>
                <w:rFonts w:ascii="Times New Roman" w:hAnsi="Times New Roman" w:cs="Times New Roman"/>
                <w:sz w:val="24"/>
                <w:szCs w:val="24"/>
              </w:rPr>
              <w:t>Steady progress for a resubmission has been made with deliberate intentionality.</w:t>
            </w:r>
          </w:p>
          <w:p w14:paraId="7B43AA76" w14:textId="77777777" w:rsidR="00536631" w:rsidRPr="002A3DDB" w:rsidRDefault="00536631" w:rsidP="00536631">
            <w:pPr>
              <w:spacing w:before="240" w:after="160"/>
              <w:contextualSpacing/>
              <w:rPr>
                <w:rFonts w:ascii="Times New Roman" w:hAnsi="Times New Roman" w:cs="Times New Roman"/>
                <w:sz w:val="24"/>
                <w:szCs w:val="24"/>
              </w:rPr>
            </w:pPr>
          </w:p>
          <w:p w14:paraId="16A927AA" w14:textId="50CA9F11" w:rsidR="00536631" w:rsidRPr="002A3DDB" w:rsidRDefault="00536631" w:rsidP="00536631">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Assessments have been re-aligned to the NCTM 2012 standards (see scoring rubric and assessment guidelines for Student Teaching Impact Portfolio</w:t>
            </w:r>
            <w:r w:rsidR="00A91989" w:rsidRPr="002A3DDB">
              <w:rPr>
                <w:rFonts w:ascii="Times New Roman" w:hAnsi="Times New Roman" w:cs="Times New Roman"/>
                <w:sz w:val="24"/>
                <w:szCs w:val="24"/>
              </w:rPr>
              <w:t xml:space="preserve"> in </w:t>
            </w:r>
            <w:r w:rsidR="0057762A">
              <w:rPr>
                <w:rFonts w:ascii="Times New Roman" w:hAnsi="Times New Roman" w:cs="Times New Roman"/>
                <w:sz w:val="24"/>
                <w:szCs w:val="24"/>
              </w:rPr>
              <w:t>Appendix C3</w:t>
            </w:r>
            <w:r w:rsidRPr="002A3DDB">
              <w:rPr>
                <w:rFonts w:ascii="Times New Roman" w:hAnsi="Times New Roman" w:cs="Times New Roman"/>
                <w:sz w:val="24"/>
                <w:szCs w:val="24"/>
              </w:rPr>
              <w:t>).</w:t>
            </w:r>
          </w:p>
          <w:p w14:paraId="176A89C6" w14:textId="77777777" w:rsidR="00536631" w:rsidRPr="002A3DDB" w:rsidRDefault="00536631" w:rsidP="00536631">
            <w:pPr>
              <w:spacing w:before="240" w:after="160"/>
              <w:contextualSpacing/>
              <w:rPr>
                <w:rFonts w:ascii="Times New Roman" w:hAnsi="Times New Roman" w:cs="Times New Roman"/>
                <w:sz w:val="24"/>
                <w:szCs w:val="24"/>
              </w:rPr>
            </w:pPr>
          </w:p>
          <w:p w14:paraId="7263639F" w14:textId="74656B34" w:rsidR="00536631" w:rsidRPr="002A3DDB" w:rsidRDefault="00536631" w:rsidP="00536631">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The EPP has started to collect data from these revised assessments, as and when they are offered.  </w:t>
            </w:r>
            <w:r w:rsidR="00A91989" w:rsidRPr="002A3DDB">
              <w:rPr>
                <w:rFonts w:ascii="Times New Roman" w:hAnsi="Times New Roman" w:cs="Times New Roman"/>
                <w:sz w:val="24"/>
                <w:szCs w:val="24"/>
              </w:rPr>
              <w:t>One application of data will be available for review during the visit.</w:t>
            </w:r>
          </w:p>
          <w:p w14:paraId="3F06C0B1" w14:textId="77777777" w:rsidR="00536631" w:rsidRPr="002A3DDB" w:rsidRDefault="00536631" w:rsidP="00536631">
            <w:pPr>
              <w:spacing w:before="240" w:after="160"/>
              <w:contextualSpacing/>
              <w:rPr>
                <w:rFonts w:ascii="Times New Roman" w:hAnsi="Times New Roman" w:cs="Times New Roman"/>
                <w:sz w:val="24"/>
                <w:szCs w:val="24"/>
              </w:rPr>
            </w:pPr>
          </w:p>
          <w:p w14:paraId="69F1B3CF" w14:textId="7570D162" w:rsidR="00536631" w:rsidRPr="002A3DDB" w:rsidRDefault="00536631" w:rsidP="00536631">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The Secondary Math Education faculty are in close collaboration with the Math department and continue to revise the Advanced Math Portfolio (completed in </w:t>
            </w:r>
            <w:r w:rsidR="00F570DB" w:rsidRPr="002A3DDB">
              <w:rPr>
                <w:rFonts w:ascii="Times New Roman" w:hAnsi="Times New Roman" w:cs="Times New Roman"/>
                <w:sz w:val="24"/>
                <w:szCs w:val="24"/>
              </w:rPr>
              <w:t>MAT</w:t>
            </w:r>
            <w:r w:rsidRPr="002A3DDB">
              <w:rPr>
                <w:rFonts w:ascii="Times New Roman" w:hAnsi="Times New Roman" w:cs="Times New Roman"/>
                <w:sz w:val="24"/>
                <w:szCs w:val="24"/>
              </w:rPr>
              <w:t xml:space="preserve"> 372 Advanced Math High School Teaching) and to develop a new course on History of Math, both of which will be completed in Academic Year 2016-2017.  These revisions will support the program to provide two content assessments (besides Praxis II).</w:t>
            </w:r>
          </w:p>
          <w:p w14:paraId="20F80F9E" w14:textId="77777777" w:rsidR="00A91989" w:rsidRPr="002A3DDB" w:rsidRDefault="00A91989" w:rsidP="00536631">
            <w:pPr>
              <w:spacing w:before="240" w:after="160"/>
              <w:contextualSpacing/>
              <w:rPr>
                <w:rFonts w:ascii="Times New Roman" w:hAnsi="Times New Roman" w:cs="Times New Roman"/>
                <w:sz w:val="24"/>
                <w:szCs w:val="24"/>
              </w:rPr>
            </w:pPr>
          </w:p>
          <w:p w14:paraId="61CBD5AE" w14:textId="04B8F630" w:rsidR="00536631" w:rsidRPr="002A3DDB" w:rsidRDefault="0071625F" w:rsidP="00536631">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Please see </w:t>
            </w:r>
            <w:r w:rsidR="00A91989" w:rsidRPr="002A3DDB">
              <w:rPr>
                <w:rFonts w:ascii="Times New Roman" w:hAnsi="Times New Roman" w:cs="Times New Roman"/>
                <w:sz w:val="24"/>
                <w:szCs w:val="24"/>
              </w:rPr>
              <w:t xml:space="preserve">a </w:t>
            </w:r>
            <w:r w:rsidRPr="002A3DDB">
              <w:rPr>
                <w:rFonts w:ascii="Times New Roman" w:hAnsi="Times New Roman" w:cs="Times New Roman"/>
                <w:sz w:val="24"/>
                <w:szCs w:val="24"/>
              </w:rPr>
              <w:t xml:space="preserve">detailed </w:t>
            </w:r>
            <w:r w:rsidR="00A91989" w:rsidRPr="002A3DDB">
              <w:rPr>
                <w:rFonts w:ascii="Times New Roman" w:hAnsi="Times New Roman" w:cs="Times New Roman"/>
                <w:sz w:val="24"/>
                <w:szCs w:val="24"/>
              </w:rPr>
              <w:t>report on the status of these revisions and projected plans for implementation</w:t>
            </w:r>
            <w:r w:rsidR="0057762A">
              <w:rPr>
                <w:rFonts w:ascii="Times New Roman" w:hAnsi="Times New Roman" w:cs="Times New Roman"/>
                <w:sz w:val="24"/>
                <w:szCs w:val="24"/>
              </w:rPr>
              <w:t xml:space="preserve"> (in Appendix C4</w:t>
            </w:r>
            <w:r w:rsidRPr="002A3DDB">
              <w:rPr>
                <w:rFonts w:ascii="Times New Roman" w:hAnsi="Times New Roman" w:cs="Times New Roman"/>
                <w:sz w:val="24"/>
                <w:szCs w:val="24"/>
              </w:rPr>
              <w:t>)</w:t>
            </w:r>
            <w:r w:rsidR="00A91989" w:rsidRPr="002A3DDB">
              <w:rPr>
                <w:rFonts w:ascii="Times New Roman" w:hAnsi="Times New Roman" w:cs="Times New Roman"/>
                <w:sz w:val="24"/>
                <w:szCs w:val="24"/>
              </w:rPr>
              <w:t xml:space="preserve">.  </w:t>
            </w:r>
          </w:p>
          <w:p w14:paraId="619C4C61" w14:textId="041D885A" w:rsidR="00332B57" w:rsidRPr="002A3DDB" w:rsidRDefault="00332B57" w:rsidP="00536631">
            <w:pPr>
              <w:spacing w:before="240" w:after="160"/>
              <w:contextualSpacing/>
              <w:rPr>
                <w:rFonts w:ascii="Times New Roman" w:hAnsi="Times New Roman" w:cs="Times New Roman"/>
                <w:sz w:val="24"/>
                <w:szCs w:val="24"/>
              </w:rPr>
            </w:pPr>
          </w:p>
        </w:tc>
      </w:tr>
      <w:tr w:rsidR="00280A83" w:rsidRPr="002A3DDB" w14:paraId="6EC5EF7F" w14:textId="77777777" w:rsidTr="00311747">
        <w:trPr>
          <w:trHeight w:val="1790"/>
        </w:trPr>
        <w:tc>
          <w:tcPr>
            <w:tcW w:w="1717" w:type="dxa"/>
            <w:vMerge/>
          </w:tcPr>
          <w:p w14:paraId="4068D55C" w14:textId="28BBF125" w:rsidR="00280A83" w:rsidRPr="002A3DDB" w:rsidRDefault="00280A83">
            <w:pPr>
              <w:rPr>
                <w:rFonts w:ascii="Times New Roman" w:hAnsi="Times New Roman" w:cs="Times New Roman"/>
                <w:sz w:val="24"/>
                <w:szCs w:val="24"/>
              </w:rPr>
            </w:pPr>
          </w:p>
        </w:tc>
        <w:tc>
          <w:tcPr>
            <w:tcW w:w="2110" w:type="dxa"/>
            <w:vMerge/>
          </w:tcPr>
          <w:p w14:paraId="10CE0AC8" w14:textId="77777777" w:rsidR="00280A83" w:rsidRPr="002A3DDB" w:rsidRDefault="00280A83">
            <w:pPr>
              <w:rPr>
                <w:rFonts w:ascii="Times New Roman" w:hAnsi="Times New Roman" w:cs="Times New Roman"/>
                <w:sz w:val="24"/>
                <w:szCs w:val="24"/>
              </w:rPr>
            </w:pPr>
          </w:p>
        </w:tc>
        <w:tc>
          <w:tcPr>
            <w:tcW w:w="2318" w:type="dxa"/>
          </w:tcPr>
          <w:p w14:paraId="4B8064C3" w14:textId="77777777" w:rsidR="00280A83" w:rsidRPr="002A3DDB" w:rsidRDefault="00280A83">
            <w:pPr>
              <w:rPr>
                <w:rFonts w:ascii="Times New Roman" w:hAnsi="Times New Roman" w:cs="Times New Roman"/>
                <w:sz w:val="24"/>
                <w:szCs w:val="24"/>
              </w:rPr>
            </w:pPr>
          </w:p>
          <w:p w14:paraId="17A658F8" w14:textId="77777777" w:rsidR="00280A83" w:rsidRPr="002A3DDB" w:rsidRDefault="00280A83">
            <w:pPr>
              <w:rPr>
                <w:rFonts w:ascii="Times New Roman" w:hAnsi="Times New Roman" w:cs="Times New Roman"/>
                <w:sz w:val="24"/>
                <w:szCs w:val="24"/>
              </w:rPr>
            </w:pPr>
            <w:r w:rsidRPr="002A3DDB">
              <w:rPr>
                <w:rFonts w:ascii="Times New Roman" w:hAnsi="Times New Roman" w:cs="Times New Roman"/>
                <w:sz w:val="24"/>
                <w:szCs w:val="24"/>
              </w:rPr>
              <w:t>2. Baccalaureate and master’s candidates’ data are not disaggregated.</w:t>
            </w:r>
          </w:p>
        </w:tc>
        <w:tc>
          <w:tcPr>
            <w:tcW w:w="7805" w:type="dxa"/>
          </w:tcPr>
          <w:p w14:paraId="3973D5F2" w14:textId="77777777" w:rsidR="00F570DB" w:rsidRPr="002A3DDB" w:rsidRDefault="00F570DB" w:rsidP="00A91989">
            <w:pPr>
              <w:rPr>
                <w:rFonts w:ascii="Times New Roman" w:hAnsi="Times New Roman" w:cs="Times New Roman"/>
                <w:sz w:val="24"/>
                <w:szCs w:val="24"/>
              </w:rPr>
            </w:pPr>
          </w:p>
          <w:p w14:paraId="63AFEA8C" w14:textId="306287E6" w:rsidR="00280A83" w:rsidRPr="002A3DDB" w:rsidRDefault="00A91989" w:rsidP="0057762A">
            <w:pPr>
              <w:rPr>
                <w:rFonts w:ascii="Times New Roman" w:hAnsi="Times New Roman" w:cs="Times New Roman"/>
                <w:sz w:val="24"/>
                <w:szCs w:val="24"/>
              </w:rPr>
            </w:pPr>
            <w:r w:rsidRPr="002A3DDB">
              <w:rPr>
                <w:rFonts w:ascii="Times New Roman" w:hAnsi="Times New Roman" w:cs="Times New Roman"/>
                <w:sz w:val="24"/>
                <w:szCs w:val="24"/>
              </w:rPr>
              <w:t xml:space="preserve">Data disaggregated by program and by undergraduate/graduate status for initial candidates has been provided for the CARE admission data </w:t>
            </w:r>
            <w:r w:rsidR="0057762A">
              <w:rPr>
                <w:rFonts w:ascii="Times New Roman" w:hAnsi="Times New Roman" w:cs="Times New Roman"/>
                <w:sz w:val="24"/>
                <w:szCs w:val="24"/>
              </w:rPr>
              <w:t xml:space="preserve">(Appendix E1) </w:t>
            </w:r>
            <w:r w:rsidRPr="002A3DDB">
              <w:rPr>
                <w:rFonts w:ascii="Times New Roman" w:hAnsi="Times New Roman" w:cs="Times New Roman"/>
                <w:sz w:val="24"/>
                <w:szCs w:val="24"/>
              </w:rPr>
              <w:t>and Student Teaching</w:t>
            </w:r>
            <w:r w:rsidR="0057762A">
              <w:rPr>
                <w:rFonts w:ascii="Times New Roman" w:hAnsi="Times New Roman" w:cs="Times New Roman"/>
                <w:sz w:val="24"/>
                <w:szCs w:val="24"/>
              </w:rPr>
              <w:t xml:space="preserve"> (Appendices E2-E8)</w:t>
            </w:r>
            <w:r w:rsidRPr="002A3DDB">
              <w:rPr>
                <w:rFonts w:ascii="Times New Roman" w:hAnsi="Times New Roman" w:cs="Times New Roman"/>
                <w:sz w:val="24"/>
                <w:szCs w:val="24"/>
              </w:rPr>
              <w:t xml:space="preserve">. </w:t>
            </w:r>
            <w:r w:rsidR="00F570DB" w:rsidRPr="002A3DDB">
              <w:rPr>
                <w:rFonts w:ascii="Times New Roman" w:hAnsi="Times New Roman" w:cs="Times New Roman"/>
                <w:sz w:val="24"/>
                <w:szCs w:val="24"/>
              </w:rPr>
              <w:t>Other data</w:t>
            </w:r>
            <w:r w:rsidRPr="002A3DDB">
              <w:rPr>
                <w:rFonts w:ascii="Times New Roman" w:hAnsi="Times New Roman" w:cs="Times New Roman"/>
                <w:sz w:val="24"/>
                <w:szCs w:val="24"/>
              </w:rPr>
              <w:t xml:space="preserve">, disaggregated similarly, will be provided at the </w:t>
            </w:r>
            <w:r w:rsidR="00F570DB" w:rsidRPr="002A3DDB">
              <w:rPr>
                <w:rFonts w:ascii="Times New Roman" w:hAnsi="Times New Roman" w:cs="Times New Roman"/>
                <w:sz w:val="24"/>
                <w:szCs w:val="24"/>
              </w:rPr>
              <w:t>onsite v</w:t>
            </w:r>
            <w:r w:rsidRPr="002A3DDB">
              <w:rPr>
                <w:rFonts w:ascii="Times New Roman" w:hAnsi="Times New Roman" w:cs="Times New Roman"/>
                <w:sz w:val="24"/>
                <w:szCs w:val="24"/>
              </w:rPr>
              <w:t>isit.</w:t>
            </w:r>
          </w:p>
        </w:tc>
      </w:tr>
      <w:tr w:rsidR="00280A83" w:rsidRPr="002A3DDB" w14:paraId="150ABA39" w14:textId="77777777" w:rsidTr="0071625F">
        <w:trPr>
          <w:trHeight w:val="2780"/>
        </w:trPr>
        <w:tc>
          <w:tcPr>
            <w:tcW w:w="1717" w:type="dxa"/>
            <w:vMerge/>
          </w:tcPr>
          <w:p w14:paraId="3A81D7E5" w14:textId="77777777" w:rsidR="00280A83" w:rsidRPr="002A3DDB" w:rsidRDefault="00280A83">
            <w:pPr>
              <w:rPr>
                <w:rFonts w:ascii="Times New Roman" w:hAnsi="Times New Roman" w:cs="Times New Roman"/>
                <w:sz w:val="24"/>
                <w:szCs w:val="24"/>
              </w:rPr>
            </w:pPr>
          </w:p>
        </w:tc>
        <w:tc>
          <w:tcPr>
            <w:tcW w:w="2110" w:type="dxa"/>
            <w:vMerge/>
          </w:tcPr>
          <w:p w14:paraId="2244304E" w14:textId="77777777" w:rsidR="00280A83" w:rsidRPr="002A3DDB" w:rsidRDefault="00280A83">
            <w:pPr>
              <w:rPr>
                <w:rFonts w:ascii="Times New Roman" w:hAnsi="Times New Roman" w:cs="Times New Roman"/>
                <w:sz w:val="24"/>
                <w:szCs w:val="24"/>
              </w:rPr>
            </w:pPr>
          </w:p>
        </w:tc>
        <w:tc>
          <w:tcPr>
            <w:tcW w:w="2318" w:type="dxa"/>
          </w:tcPr>
          <w:p w14:paraId="2CFDD816" w14:textId="77777777" w:rsidR="00280A83" w:rsidRPr="002A3DDB" w:rsidRDefault="00280A83">
            <w:pPr>
              <w:rPr>
                <w:rFonts w:ascii="Times New Roman" w:hAnsi="Times New Roman" w:cs="Times New Roman"/>
                <w:sz w:val="24"/>
                <w:szCs w:val="24"/>
              </w:rPr>
            </w:pPr>
          </w:p>
          <w:p w14:paraId="21577CDD" w14:textId="77777777" w:rsidR="00280A83" w:rsidRPr="002A3DDB" w:rsidRDefault="00280A83">
            <w:pPr>
              <w:rPr>
                <w:rFonts w:ascii="Times New Roman" w:hAnsi="Times New Roman" w:cs="Times New Roman"/>
                <w:sz w:val="24"/>
                <w:szCs w:val="24"/>
              </w:rPr>
            </w:pPr>
            <w:r w:rsidRPr="002A3DDB">
              <w:rPr>
                <w:rFonts w:ascii="Times New Roman" w:hAnsi="Times New Roman" w:cs="Times New Roman"/>
                <w:sz w:val="24"/>
                <w:szCs w:val="24"/>
              </w:rPr>
              <w:t>3. It is not clear how GPAs are used as evidence of candidates’ content knowledge.</w:t>
            </w:r>
          </w:p>
        </w:tc>
        <w:tc>
          <w:tcPr>
            <w:tcW w:w="7805" w:type="dxa"/>
          </w:tcPr>
          <w:p w14:paraId="3C3F22EA" w14:textId="77777777" w:rsidR="00332B57" w:rsidRPr="002A3DDB" w:rsidRDefault="00332B57" w:rsidP="00AD2A25">
            <w:pPr>
              <w:spacing w:before="240" w:after="160"/>
              <w:contextualSpacing/>
              <w:rPr>
                <w:rFonts w:ascii="Times New Roman" w:hAnsi="Times New Roman" w:cs="Times New Roman"/>
                <w:sz w:val="24"/>
                <w:szCs w:val="24"/>
              </w:rPr>
            </w:pPr>
          </w:p>
          <w:p w14:paraId="4B8E14D5" w14:textId="4F045C78" w:rsidR="00AD2A25" w:rsidRPr="002A3DDB" w:rsidRDefault="00AD2A25" w:rsidP="00AD2A25">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Only programs whose SPAs permit the use of GPA as an indicator of content knowledge use GPA to measure content and or pedagogical knowledge. These include Elementary, Secondary Social Studies, Secondary Math (which is currently being revised), and Secondary English.  All documentation adheres to the NCATE criteria for grades.  See documentation from the recently submitted ELE program report for the graduate and undergraduate </w:t>
            </w:r>
            <w:r w:rsidR="0057762A">
              <w:rPr>
                <w:rFonts w:ascii="Times New Roman" w:hAnsi="Times New Roman" w:cs="Times New Roman"/>
                <w:sz w:val="24"/>
                <w:szCs w:val="24"/>
              </w:rPr>
              <w:t xml:space="preserve">(Appendices C2 and C1, respectively) </w:t>
            </w:r>
            <w:r w:rsidRPr="002A3DDB">
              <w:rPr>
                <w:rFonts w:ascii="Times New Roman" w:hAnsi="Times New Roman" w:cs="Times New Roman"/>
                <w:sz w:val="24"/>
                <w:szCs w:val="24"/>
              </w:rPr>
              <w:t>reporting of GPA as per NCATE criteria.</w:t>
            </w:r>
          </w:p>
          <w:p w14:paraId="345DFEF5" w14:textId="77777777" w:rsidR="00280A83" w:rsidRPr="002A3DDB" w:rsidRDefault="00280A83">
            <w:pPr>
              <w:rPr>
                <w:rFonts w:ascii="Times New Roman" w:hAnsi="Times New Roman" w:cs="Times New Roman"/>
                <w:sz w:val="24"/>
                <w:szCs w:val="24"/>
              </w:rPr>
            </w:pPr>
          </w:p>
        </w:tc>
      </w:tr>
      <w:tr w:rsidR="00280A83" w:rsidRPr="002A3DDB" w14:paraId="1DB5A836" w14:textId="77777777" w:rsidTr="00D923BE">
        <w:trPr>
          <w:trHeight w:val="1160"/>
        </w:trPr>
        <w:tc>
          <w:tcPr>
            <w:tcW w:w="1717" w:type="dxa"/>
            <w:vMerge/>
          </w:tcPr>
          <w:p w14:paraId="5796DF8B" w14:textId="77777777" w:rsidR="00280A83" w:rsidRPr="002A3DDB" w:rsidRDefault="00280A83">
            <w:pPr>
              <w:rPr>
                <w:rFonts w:ascii="Times New Roman" w:hAnsi="Times New Roman" w:cs="Times New Roman"/>
                <w:sz w:val="24"/>
                <w:szCs w:val="24"/>
              </w:rPr>
            </w:pPr>
          </w:p>
        </w:tc>
        <w:tc>
          <w:tcPr>
            <w:tcW w:w="2110" w:type="dxa"/>
            <w:vMerge/>
          </w:tcPr>
          <w:p w14:paraId="520AB23C" w14:textId="77777777" w:rsidR="00280A83" w:rsidRPr="002A3DDB" w:rsidRDefault="00280A83">
            <w:pPr>
              <w:rPr>
                <w:rFonts w:ascii="Times New Roman" w:hAnsi="Times New Roman" w:cs="Times New Roman"/>
                <w:sz w:val="24"/>
                <w:szCs w:val="24"/>
              </w:rPr>
            </w:pPr>
          </w:p>
        </w:tc>
        <w:tc>
          <w:tcPr>
            <w:tcW w:w="2318" w:type="dxa"/>
          </w:tcPr>
          <w:p w14:paraId="7F64805C" w14:textId="77777777" w:rsidR="00280A83" w:rsidRPr="002A3DDB" w:rsidRDefault="00280A83">
            <w:pPr>
              <w:rPr>
                <w:rFonts w:ascii="Times New Roman" w:hAnsi="Times New Roman" w:cs="Times New Roman"/>
                <w:sz w:val="24"/>
                <w:szCs w:val="24"/>
              </w:rPr>
            </w:pPr>
          </w:p>
          <w:p w14:paraId="4D9D3E16" w14:textId="77777777" w:rsidR="00280A83" w:rsidRPr="002A3DDB" w:rsidRDefault="00280A83">
            <w:pPr>
              <w:rPr>
                <w:rFonts w:ascii="Times New Roman" w:hAnsi="Times New Roman" w:cs="Times New Roman"/>
                <w:sz w:val="24"/>
                <w:szCs w:val="24"/>
              </w:rPr>
            </w:pPr>
            <w:r w:rsidRPr="002A3DDB">
              <w:rPr>
                <w:rFonts w:ascii="Times New Roman" w:hAnsi="Times New Roman" w:cs="Times New Roman"/>
                <w:sz w:val="24"/>
                <w:szCs w:val="24"/>
              </w:rPr>
              <w:t>4. The IR has not provided convincing evidence that there is a concerted effort within the unit to ensure comprehensive and consistent performance measurements of candidates content knowledge, pedagogical content knowledge and skills, professional and pedagogical; knowledge and skills, ability to help all students learn, and professional dispositions.</w:t>
            </w:r>
          </w:p>
        </w:tc>
        <w:tc>
          <w:tcPr>
            <w:tcW w:w="7805" w:type="dxa"/>
            <w:tcBorders>
              <w:bottom w:val="single" w:sz="4" w:space="0" w:color="auto"/>
            </w:tcBorders>
          </w:tcPr>
          <w:p w14:paraId="63D168A6" w14:textId="77777777" w:rsidR="00332B57" w:rsidRPr="002A3DDB" w:rsidRDefault="00332B57" w:rsidP="00A710B4">
            <w:pPr>
              <w:spacing w:before="240" w:after="160"/>
              <w:contextualSpacing/>
              <w:rPr>
                <w:rFonts w:ascii="Times New Roman" w:hAnsi="Times New Roman" w:cs="Times New Roman"/>
                <w:sz w:val="24"/>
                <w:szCs w:val="24"/>
              </w:rPr>
            </w:pPr>
          </w:p>
          <w:p w14:paraId="09069B6B" w14:textId="32B2660B" w:rsidR="00A710B4" w:rsidRPr="002A3DDB" w:rsidRDefault="00A710B4"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The EPP has established a comprehensive performance assessment system to measur</w:t>
            </w:r>
            <w:r w:rsidR="00643317" w:rsidRPr="002A3DDB">
              <w:rPr>
                <w:rFonts w:ascii="Times New Roman" w:hAnsi="Times New Roman" w:cs="Times New Roman"/>
                <w:sz w:val="24"/>
                <w:szCs w:val="24"/>
              </w:rPr>
              <w:t>e candidates’ content knowledge</w:t>
            </w:r>
            <w:r w:rsidRPr="002A3DDB">
              <w:rPr>
                <w:rFonts w:ascii="Times New Roman" w:hAnsi="Times New Roman" w:cs="Times New Roman"/>
                <w:sz w:val="24"/>
                <w:szCs w:val="24"/>
              </w:rPr>
              <w:t>, pedagogical kn</w:t>
            </w:r>
            <w:r w:rsidR="00643317" w:rsidRPr="002A3DDB">
              <w:rPr>
                <w:rFonts w:ascii="Times New Roman" w:hAnsi="Times New Roman" w:cs="Times New Roman"/>
                <w:sz w:val="24"/>
                <w:szCs w:val="24"/>
              </w:rPr>
              <w:t>owledge, professional knowledge</w:t>
            </w:r>
            <w:r w:rsidRPr="002A3DDB">
              <w:rPr>
                <w:rFonts w:ascii="Times New Roman" w:hAnsi="Times New Roman" w:cs="Times New Roman"/>
                <w:sz w:val="24"/>
                <w:szCs w:val="24"/>
              </w:rPr>
              <w:t xml:space="preserve"> and skills to help all P-12 student learning. The system is designed on a progression across each of the clinical cores, using multiple data points. Each transition point (or CORE) represents developmentally </w:t>
            </w:r>
            <w:r w:rsidR="00B54D4E" w:rsidRPr="002A3DDB">
              <w:rPr>
                <w:rFonts w:ascii="Times New Roman" w:hAnsi="Times New Roman" w:cs="Times New Roman"/>
                <w:sz w:val="24"/>
                <w:szCs w:val="24"/>
              </w:rPr>
              <w:t>appropriate</w:t>
            </w:r>
            <w:r w:rsidR="00E909E9" w:rsidRPr="002A3DDB">
              <w:rPr>
                <w:rFonts w:ascii="Times New Roman" w:hAnsi="Times New Roman" w:cs="Times New Roman"/>
                <w:sz w:val="24"/>
                <w:szCs w:val="24"/>
              </w:rPr>
              <w:t xml:space="preserve"> </w:t>
            </w:r>
            <w:r w:rsidR="00621061" w:rsidRPr="002A3DDB">
              <w:rPr>
                <w:rFonts w:ascii="Times New Roman" w:hAnsi="Times New Roman" w:cs="Times New Roman"/>
                <w:sz w:val="24"/>
                <w:szCs w:val="24"/>
              </w:rPr>
              <w:t>practice for candidates.</w:t>
            </w:r>
          </w:p>
          <w:p w14:paraId="5D8518AF" w14:textId="77777777" w:rsidR="00A710B4" w:rsidRPr="002A3DDB" w:rsidRDefault="00A710B4" w:rsidP="00A710B4">
            <w:pPr>
              <w:spacing w:before="240" w:after="160"/>
              <w:contextualSpacing/>
              <w:rPr>
                <w:rFonts w:ascii="Times New Roman" w:hAnsi="Times New Roman" w:cs="Times New Roman"/>
                <w:sz w:val="24"/>
                <w:szCs w:val="24"/>
              </w:rPr>
            </w:pPr>
          </w:p>
          <w:p w14:paraId="4EF741E4" w14:textId="5ABEE88F" w:rsidR="00264AE7" w:rsidRPr="002A3DDB" w:rsidRDefault="00264AE7"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Student teaching data (see </w:t>
            </w:r>
            <w:r w:rsidR="00643317" w:rsidRPr="002A3DDB">
              <w:rPr>
                <w:rFonts w:ascii="Times New Roman" w:hAnsi="Times New Roman" w:cs="Times New Roman"/>
                <w:sz w:val="24"/>
                <w:szCs w:val="24"/>
              </w:rPr>
              <w:t xml:space="preserve">disaggregated </w:t>
            </w:r>
            <w:r w:rsidRPr="002A3DDB">
              <w:rPr>
                <w:rFonts w:ascii="Times New Roman" w:hAnsi="Times New Roman" w:cs="Times New Roman"/>
                <w:sz w:val="24"/>
                <w:szCs w:val="24"/>
              </w:rPr>
              <w:t>data</w:t>
            </w:r>
            <w:r w:rsidR="00DD7D74" w:rsidRPr="002A3DDB">
              <w:rPr>
                <w:rFonts w:ascii="Times New Roman" w:hAnsi="Times New Roman" w:cs="Times New Roman"/>
                <w:sz w:val="24"/>
                <w:szCs w:val="24"/>
              </w:rPr>
              <w:t xml:space="preserve"> </w:t>
            </w:r>
            <w:r w:rsidR="00643317" w:rsidRPr="002A3DDB">
              <w:rPr>
                <w:rFonts w:ascii="Times New Roman" w:hAnsi="Times New Roman" w:cs="Times New Roman"/>
                <w:sz w:val="24"/>
                <w:szCs w:val="24"/>
              </w:rPr>
              <w:t xml:space="preserve">from 4 semesters </w:t>
            </w:r>
            <w:r w:rsidR="00DD7D74" w:rsidRPr="002A3DDB">
              <w:rPr>
                <w:rFonts w:ascii="Times New Roman" w:hAnsi="Times New Roman" w:cs="Times New Roman"/>
                <w:sz w:val="24"/>
                <w:szCs w:val="24"/>
              </w:rPr>
              <w:t xml:space="preserve">in </w:t>
            </w:r>
            <w:r w:rsidR="0057762A">
              <w:rPr>
                <w:rFonts w:ascii="Times New Roman" w:hAnsi="Times New Roman" w:cs="Times New Roman"/>
                <w:sz w:val="24"/>
                <w:szCs w:val="24"/>
              </w:rPr>
              <w:t>Appendices E2-E8</w:t>
            </w:r>
            <w:r w:rsidRPr="002A3DDB">
              <w:rPr>
                <w:rFonts w:ascii="Times New Roman" w:hAnsi="Times New Roman" w:cs="Times New Roman"/>
                <w:sz w:val="24"/>
                <w:szCs w:val="24"/>
              </w:rPr>
              <w:t xml:space="preserve">) documents content knowledge, pedagogical content knowledge and skills, professional and pedagogical knowledge and skills, ability to help all students learn, and professional dispositions.  This is additional evidence not previously submitted and </w:t>
            </w:r>
            <w:r w:rsidR="00621061" w:rsidRPr="002A3DDB">
              <w:rPr>
                <w:rFonts w:ascii="Times New Roman" w:hAnsi="Times New Roman" w:cs="Times New Roman"/>
                <w:sz w:val="24"/>
                <w:szCs w:val="24"/>
              </w:rPr>
              <w:t xml:space="preserve">exemplifies data across all programs. </w:t>
            </w:r>
            <w:r w:rsidRPr="002A3DDB">
              <w:rPr>
                <w:rFonts w:ascii="Times New Roman" w:hAnsi="Times New Roman" w:cs="Times New Roman"/>
                <w:sz w:val="24"/>
                <w:szCs w:val="24"/>
              </w:rPr>
              <w:t xml:space="preserve">The data </w:t>
            </w:r>
            <w:r w:rsidR="00621061" w:rsidRPr="002A3DDB">
              <w:rPr>
                <w:rFonts w:ascii="Times New Roman" w:hAnsi="Times New Roman" w:cs="Times New Roman"/>
                <w:sz w:val="24"/>
                <w:szCs w:val="24"/>
              </w:rPr>
              <w:t>were</w:t>
            </w:r>
            <w:r w:rsidRPr="002A3DDB">
              <w:rPr>
                <w:rFonts w:ascii="Times New Roman" w:hAnsi="Times New Roman" w:cs="Times New Roman"/>
                <w:sz w:val="24"/>
                <w:szCs w:val="24"/>
              </w:rPr>
              <w:t xml:space="preserve"> discussed by the EPP at the </w:t>
            </w:r>
            <w:r w:rsidR="0057762A">
              <w:rPr>
                <w:rFonts w:ascii="Times New Roman" w:hAnsi="Times New Roman" w:cs="Times New Roman"/>
                <w:sz w:val="24"/>
                <w:szCs w:val="24"/>
              </w:rPr>
              <w:t xml:space="preserve">May and </w:t>
            </w:r>
            <w:r w:rsidRPr="002A3DDB">
              <w:rPr>
                <w:rFonts w:ascii="Times New Roman" w:hAnsi="Times New Roman" w:cs="Times New Roman"/>
                <w:sz w:val="24"/>
                <w:szCs w:val="24"/>
              </w:rPr>
              <w:t>August retreat</w:t>
            </w:r>
            <w:r w:rsidR="0057762A">
              <w:rPr>
                <w:rFonts w:ascii="Times New Roman" w:hAnsi="Times New Roman" w:cs="Times New Roman"/>
                <w:sz w:val="24"/>
                <w:szCs w:val="24"/>
              </w:rPr>
              <w:t>s</w:t>
            </w:r>
            <w:r w:rsidRPr="002A3DDB">
              <w:rPr>
                <w:rFonts w:ascii="Times New Roman" w:hAnsi="Times New Roman" w:cs="Times New Roman"/>
                <w:sz w:val="24"/>
                <w:szCs w:val="24"/>
              </w:rPr>
              <w:t xml:space="preserve"> for programmatic improvements </w:t>
            </w:r>
            <w:r w:rsidR="00DD7D74" w:rsidRPr="002A3DDB">
              <w:rPr>
                <w:rFonts w:ascii="Times New Roman" w:hAnsi="Times New Roman" w:cs="Times New Roman"/>
                <w:sz w:val="24"/>
                <w:szCs w:val="24"/>
              </w:rPr>
              <w:t>(see</w:t>
            </w:r>
            <w:r w:rsidRPr="002A3DDB">
              <w:rPr>
                <w:rFonts w:ascii="Times New Roman" w:hAnsi="Times New Roman" w:cs="Times New Roman"/>
                <w:sz w:val="24"/>
                <w:szCs w:val="24"/>
              </w:rPr>
              <w:t xml:space="preserve"> minutes</w:t>
            </w:r>
            <w:r w:rsidR="00DD7D74" w:rsidRPr="002A3DDB">
              <w:rPr>
                <w:rFonts w:ascii="Times New Roman" w:hAnsi="Times New Roman" w:cs="Times New Roman"/>
                <w:sz w:val="24"/>
                <w:szCs w:val="24"/>
              </w:rPr>
              <w:t xml:space="preserve"> in </w:t>
            </w:r>
            <w:r w:rsidR="0057762A">
              <w:rPr>
                <w:rFonts w:ascii="Times New Roman" w:hAnsi="Times New Roman" w:cs="Times New Roman"/>
                <w:sz w:val="24"/>
                <w:szCs w:val="24"/>
              </w:rPr>
              <w:t>Appendices F1 and F2</w:t>
            </w:r>
            <w:r w:rsidRPr="002A3DDB">
              <w:rPr>
                <w:rFonts w:ascii="Times New Roman" w:hAnsi="Times New Roman" w:cs="Times New Roman"/>
                <w:sz w:val="24"/>
                <w:szCs w:val="24"/>
              </w:rPr>
              <w:t>).</w:t>
            </w:r>
          </w:p>
          <w:p w14:paraId="41B4F5AB" w14:textId="77777777" w:rsidR="00DD7D74" w:rsidRPr="002A3DDB" w:rsidRDefault="00DD7D74" w:rsidP="00A710B4">
            <w:pPr>
              <w:spacing w:before="240" w:after="160"/>
              <w:contextualSpacing/>
              <w:rPr>
                <w:rFonts w:ascii="Times New Roman" w:hAnsi="Times New Roman" w:cs="Times New Roman"/>
                <w:sz w:val="24"/>
                <w:szCs w:val="24"/>
              </w:rPr>
            </w:pPr>
          </w:p>
          <w:p w14:paraId="56417AA9" w14:textId="57A55AEC" w:rsidR="00DD7D74" w:rsidRPr="002A3DDB" w:rsidRDefault="00DD7D74"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Additionally, please refer to the chart </w:t>
            </w:r>
            <w:r w:rsidR="0057762A">
              <w:rPr>
                <w:rFonts w:ascii="Times New Roman" w:hAnsi="Times New Roman" w:cs="Times New Roman"/>
                <w:sz w:val="24"/>
                <w:szCs w:val="24"/>
              </w:rPr>
              <w:t xml:space="preserve">(Appendix A3) </w:t>
            </w:r>
            <w:r w:rsidRPr="002A3DDB">
              <w:rPr>
                <w:rFonts w:ascii="Times New Roman" w:hAnsi="Times New Roman" w:cs="Times New Roman"/>
                <w:sz w:val="24"/>
                <w:szCs w:val="24"/>
              </w:rPr>
              <w:t xml:space="preserve">in appendices that aligns the student teaching evaluation instrument </w:t>
            </w:r>
            <w:r w:rsidR="0057762A">
              <w:rPr>
                <w:rFonts w:ascii="Times New Roman" w:hAnsi="Times New Roman" w:cs="Times New Roman"/>
                <w:sz w:val="24"/>
                <w:szCs w:val="24"/>
              </w:rPr>
              <w:t xml:space="preserve">(Appendix A2) </w:t>
            </w:r>
            <w:r w:rsidRPr="002A3DDB">
              <w:rPr>
                <w:rFonts w:ascii="Times New Roman" w:hAnsi="Times New Roman" w:cs="Times New Roman"/>
                <w:sz w:val="24"/>
                <w:szCs w:val="24"/>
              </w:rPr>
              <w:t>to the various standards as well as distinctly aligns to sub-components of NCATE standard.</w:t>
            </w:r>
            <w:r w:rsidR="00A07A32" w:rsidRPr="002A3DDB">
              <w:rPr>
                <w:rFonts w:ascii="Times New Roman" w:hAnsi="Times New Roman" w:cs="Times New Roman"/>
                <w:sz w:val="24"/>
                <w:szCs w:val="24"/>
              </w:rPr>
              <w:t xml:space="preserve">  The chart helps explain how the EPP uses the student teaching evaluation as evidence for various sub-components of Standard 1.</w:t>
            </w:r>
          </w:p>
          <w:p w14:paraId="7C8ABA74" w14:textId="77777777" w:rsidR="00A710B4" w:rsidRPr="002A3DDB" w:rsidRDefault="00A710B4" w:rsidP="00A710B4">
            <w:pPr>
              <w:spacing w:before="240" w:after="160"/>
              <w:contextualSpacing/>
              <w:rPr>
                <w:rFonts w:ascii="Times New Roman" w:hAnsi="Times New Roman" w:cs="Times New Roman"/>
                <w:sz w:val="24"/>
                <w:szCs w:val="24"/>
              </w:rPr>
            </w:pPr>
          </w:p>
          <w:p w14:paraId="7EA7AE40" w14:textId="5F2B52E6" w:rsidR="00264AE7" w:rsidRPr="002A3DDB" w:rsidRDefault="00264AE7"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EPP has launched a series of Core Portfolio assessments across all programs.  The C</w:t>
            </w:r>
            <w:r w:rsidR="002A2E44" w:rsidRPr="002A3DDB">
              <w:rPr>
                <w:rFonts w:ascii="Times New Roman" w:hAnsi="Times New Roman" w:cs="Times New Roman"/>
                <w:sz w:val="24"/>
                <w:szCs w:val="24"/>
              </w:rPr>
              <w:t>ore I portfolio was piloted in s</w:t>
            </w:r>
            <w:r w:rsidRPr="002A3DDB">
              <w:rPr>
                <w:rFonts w:ascii="Times New Roman" w:hAnsi="Times New Roman" w:cs="Times New Roman"/>
                <w:sz w:val="24"/>
                <w:szCs w:val="24"/>
              </w:rPr>
              <w:t>pring 20</w:t>
            </w:r>
            <w:r w:rsidR="002A2E44" w:rsidRPr="002A3DDB">
              <w:rPr>
                <w:rFonts w:ascii="Times New Roman" w:hAnsi="Times New Roman" w:cs="Times New Roman"/>
                <w:sz w:val="24"/>
                <w:szCs w:val="24"/>
              </w:rPr>
              <w:t>16 and is being implemented in f</w:t>
            </w:r>
            <w:r w:rsidRPr="002A3DDB">
              <w:rPr>
                <w:rFonts w:ascii="Times New Roman" w:hAnsi="Times New Roman" w:cs="Times New Roman"/>
                <w:sz w:val="24"/>
                <w:szCs w:val="24"/>
              </w:rPr>
              <w:t xml:space="preserve">all 2016 across all programs.  </w:t>
            </w:r>
            <w:r w:rsidR="00621061" w:rsidRPr="002A3DDB">
              <w:rPr>
                <w:rFonts w:ascii="Times New Roman" w:hAnsi="Times New Roman" w:cs="Times New Roman"/>
                <w:sz w:val="24"/>
                <w:szCs w:val="24"/>
              </w:rPr>
              <w:t>See CORE I Portfolio Assignments</w:t>
            </w:r>
            <w:r w:rsidR="00DD7D74" w:rsidRPr="002A3DDB">
              <w:rPr>
                <w:rFonts w:ascii="Times New Roman" w:hAnsi="Times New Roman" w:cs="Times New Roman"/>
                <w:sz w:val="24"/>
                <w:szCs w:val="24"/>
              </w:rPr>
              <w:t xml:space="preserve"> previously submitted with exhibits with the IR</w:t>
            </w:r>
            <w:r w:rsidR="00621061" w:rsidRPr="002A3DDB">
              <w:rPr>
                <w:rFonts w:ascii="Times New Roman" w:hAnsi="Times New Roman" w:cs="Times New Roman"/>
                <w:sz w:val="24"/>
                <w:szCs w:val="24"/>
              </w:rPr>
              <w:t>.  Candidates are provided feedback by faculty and data are</w:t>
            </w:r>
            <w:r w:rsidRPr="002A3DDB">
              <w:rPr>
                <w:rFonts w:ascii="Times New Roman" w:hAnsi="Times New Roman" w:cs="Times New Roman"/>
                <w:sz w:val="24"/>
                <w:szCs w:val="24"/>
              </w:rPr>
              <w:t xml:space="preserve"> being collected in TK20 </w:t>
            </w:r>
            <w:r w:rsidR="002A2E44" w:rsidRPr="002A3DDB">
              <w:rPr>
                <w:rFonts w:ascii="Times New Roman" w:hAnsi="Times New Roman" w:cs="Times New Roman"/>
                <w:sz w:val="24"/>
                <w:szCs w:val="24"/>
              </w:rPr>
              <w:t>and will be</w:t>
            </w:r>
            <w:r w:rsidR="00621061" w:rsidRPr="002A3DDB">
              <w:rPr>
                <w:rFonts w:ascii="Times New Roman" w:hAnsi="Times New Roman" w:cs="Times New Roman"/>
                <w:sz w:val="24"/>
                <w:szCs w:val="24"/>
              </w:rPr>
              <w:t xml:space="preserve"> analyzed at the end of the term</w:t>
            </w:r>
            <w:r w:rsidR="00520D75" w:rsidRPr="002A3DDB">
              <w:rPr>
                <w:rFonts w:ascii="Times New Roman" w:hAnsi="Times New Roman" w:cs="Times New Roman"/>
                <w:sz w:val="24"/>
                <w:szCs w:val="24"/>
              </w:rPr>
              <w:t xml:space="preserve"> collaboratively </w:t>
            </w:r>
            <w:r w:rsidR="00AC665C" w:rsidRPr="002A3DDB">
              <w:rPr>
                <w:rFonts w:ascii="Times New Roman" w:hAnsi="Times New Roman" w:cs="Times New Roman"/>
                <w:sz w:val="24"/>
                <w:szCs w:val="24"/>
              </w:rPr>
              <w:t xml:space="preserve">among EPP faculty and P-12 partners. </w:t>
            </w:r>
            <w:r w:rsidR="00AB5216" w:rsidRPr="002A3DDB">
              <w:rPr>
                <w:rFonts w:ascii="Times New Roman" w:hAnsi="Times New Roman" w:cs="Times New Roman"/>
                <w:sz w:val="24"/>
                <w:szCs w:val="24"/>
              </w:rPr>
              <w:t>Following the processes for piloting the Looking Backwards Looking Forward assignment from CORE I spring 2016, evaluators will assess construct and content validity</w:t>
            </w:r>
            <w:r w:rsidR="007E62A6" w:rsidRPr="002A3DDB">
              <w:rPr>
                <w:rFonts w:ascii="Times New Roman" w:hAnsi="Times New Roman" w:cs="Times New Roman"/>
                <w:sz w:val="24"/>
                <w:szCs w:val="24"/>
              </w:rPr>
              <w:t>, and bias</w:t>
            </w:r>
            <w:r w:rsidR="00AB5216" w:rsidRPr="002A3DDB">
              <w:rPr>
                <w:rFonts w:ascii="Times New Roman" w:hAnsi="Times New Roman" w:cs="Times New Roman"/>
                <w:sz w:val="24"/>
                <w:szCs w:val="24"/>
              </w:rPr>
              <w:t xml:space="preserve"> </w:t>
            </w:r>
            <w:r w:rsidR="004756B2" w:rsidRPr="002A3DDB">
              <w:rPr>
                <w:rFonts w:ascii="Times New Roman" w:hAnsi="Times New Roman" w:cs="Times New Roman"/>
                <w:sz w:val="24"/>
                <w:szCs w:val="24"/>
              </w:rPr>
              <w:t xml:space="preserve">during the process. </w:t>
            </w:r>
            <w:r w:rsidR="004501F0" w:rsidRPr="002A3DDB">
              <w:rPr>
                <w:rFonts w:ascii="Times New Roman" w:hAnsi="Times New Roman" w:cs="Times New Roman"/>
                <w:sz w:val="24"/>
                <w:szCs w:val="24"/>
              </w:rPr>
              <w:t xml:space="preserve"> Evaluators will include faculty and professional community members (e.g., </w:t>
            </w:r>
            <w:r w:rsidR="007E62A6" w:rsidRPr="002A3DDB">
              <w:rPr>
                <w:rFonts w:ascii="Times New Roman" w:hAnsi="Times New Roman" w:cs="Times New Roman"/>
                <w:sz w:val="24"/>
                <w:szCs w:val="24"/>
              </w:rPr>
              <w:t xml:space="preserve">CORE I host teachers, alumni, university supervisor), thereby demonstrating the community’s involvement in the development of the EPP’s assessment unit. </w:t>
            </w:r>
            <w:r w:rsidR="004756B2" w:rsidRPr="002A3DDB">
              <w:rPr>
                <w:rFonts w:ascii="Times New Roman" w:hAnsi="Times New Roman" w:cs="Times New Roman"/>
                <w:sz w:val="24"/>
                <w:szCs w:val="24"/>
              </w:rPr>
              <w:t xml:space="preserve">The results will be further discussed </w:t>
            </w:r>
            <w:r w:rsidRPr="002A3DDB">
              <w:rPr>
                <w:rFonts w:ascii="Times New Roman" w:hAnsi="Times New Roman" w:cs="Times New Roman"/>
                <w:sz w:val="24"/>
                <w:szCs w:val="24"/>
              </w:rPr>
              <w:t>by the EPP in the January 2017 retreat.</w:t>
            </w:r>
            <w:r w:rsidR="007E62A6" w:rsidRPr="002A3DDB">
              <w:rPr>
                <w:rFonts w:ascii="Times New Roman" w:hAnsi="Times New Roman" w:cs="Times New Roman"/>
                <w:sz w:val="24"/>
                <w:szCs w:val="24"/>
              </w:rPr>
              <w:t xml:space="preserve"> This is a working model, designed over two academic semesters, intended to be duplicated as each new CORE portfolio is piloted in full. </w:t>
            </w:r>
          </w:p>
          <w:p w14:paraId="135A449B" w14:textId="77777777" w:rsidR="00A710B4" w:rsidRPr="002A3DDB" w:rsidRDefault="00A710B4" w:rsidP="00A710B4">
            <w:pPr>
              <w:spacing w:before="240" w:after="160"/>
              <w:contextualSpacing/>
              <w:rPr>
                <w:rFonts w:ascii="Times New Roman" w:hAnsi="Times New Roman" w:cs="Times New Roman"/>
                <w:sz w:val="24"/>
                <w:szCs w:val="24"/>
              </w:rPr>
            </w:pPr>
          </w:p>
          <w:p w14:paraId="3D3FC928" w14:textId="7D9DF9AE" w:rsidR="004756B2" w:rsidRPr="002A3DDB" w:rsidRDefault="00264AE7"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Core II portfolio has been drafted by the Adhoc Assessment Committee and will be pilot</w:t>
            </w:r>
            <w:r w:rsidR="004756B2" w:rsidRPr="002A3DDB">
              <w:rPr>
                <w:rFonts w:ascii="Times New Roman" w:hAnsi="Times New Roman" w:cs="Times New Roman"/>
                <w:sz w:val="24"/>
                <w:szCs w:val="24"/>
              </w:rPr>
              <w:t xml:space="preserve">ed spring 2017.  </w:t>
            </w:r>
            <w:r w:rsidRPr="002A3DDB">
              <w:rPr>
                <w:rFonts w:ascii="Times New Roman" w:hAnsi="Times New Roman" w:cs="Times New Roman"/>
                <w:sz w:val="24"/>
                <w:szCs w:val="24"/>
              </w:rPr>
              <w:t xml:space="preserve">See </w:t>
            </w:r>
            <w:r w:rsidR="00DD7D74" w:rsidRPr="002A3DDB">
              <w:rPr>
                <w:rFonts w:ascii="Times New Roman" w:hAnsi="Times New Roman" w:cs="Times New Roman"/>
                <w:sz w:val="24"/>
                <w:szCs w:val="24"/>
              </w:rPr>
              <w:t>appendices</w:t>
            </w:r>
            <w:r w:rsidRPr="002A3DDB">
              <w:rPr>
                <w:rFonts w:ascii="Times New Roman" w:hAnsi="Times New Roman" w:cs="Times New Roman"/>
                <w:sz w:val="24"/>
                <w:szCs w:val="24"/>
              </w:rPr>
              <w:t xml:space="preserve"> for draft of the Core II portfolio</w:t>
            </w:r>
            <w:r w:rsidR="0057762A">
              <w:rPr>
                <w:rFonts w:ascii="Times New Roman" w:hAnsi="Times New Roman" w:cs="Times New Roman"/>
                <w:sz w:val="24"/>
                <w:szCs w:val="24"/>
              </w:rPr>
              <w:t xml:space="preserve"> (Appendix I1)</w:t>
            </w:r>
            <w:r w:rsidRPr="002A3DDB">
              <w:rPr>
                <w:rFonts w:ascii="Times New Roman" w:hAnsi="Times New Roman" w:cs="Times New Roman"/>
                <w:sz w:val="24"/>
                <w:szCs w:val="24"/>
              </w:rPr>
              <w:t xml:space="preserve">. </w:t>
            </w:r>
          </w:p>
          <w:p w14:paraId="508A9396" w14:textId="77777777" w:rsidR="004756B2" w:rsidRPr="002A3DDB" w:rsidRDefault="004756B2" w:rsidP="00A710B4">
            <w:pPr>
              <w:spacing w:before="240" w:after="160"/>
              <w:contextualSpacing/>
              <w:rPr>
                <w:rFonts w:ascii="Times New Roman" w:hAnsi="Times New Roman" w:cs="Times New Roman"/>
                <w:sz w:val="24"/>
                <w:szCs w:val="24"/>
              </w:rPr>
            </w:pPr>
          </w:p>
          <w:p w14:paraId="6F4CD1A8" w14:textId="562188F6" w:rsidR="004756B2" w:rsidRPr="002A3DDB" w:rsidRDefault="004756B2"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The CORE III portfolio will be design</w:t>
            </w:r>
            <w:r w:rsidR="00DD7D74" w:rsidRPr="002A3DDB">
              <w:rPr>
                <w:rFonts w:ascii="Times New Roman" w:hAnsi="Times New Roman" w:cs="Times New Roman"/>
                <w:sz w:val="24"/>
                <w:szCs w:val="24"/>
              </w:rPr>
              <w:t xml:space="preserve">ed in </w:t>
            </w:r>
            <w:r w:rsidRPr="002A3DDB">
              <w:rPr>
                <w:rFonts w:ascii="Times New Roman" w:hAnsi="Times New Roman" w:cs="Times New Roman"/>
                <w:sz w:val="24"/>
                <w:szCs w:val="24"/>
              </w:rPr>
              <w:t>spring 2017 for pilot implementation fall 2017.</w:t>
            </w:r>
          </w:p>
          <w:p w14:paraId="5A681780" w14:textId="77777777" w:rsidR="004756B2" w:rsidRPr="002A3DDB" w:rsidRDefault="004756B2" w:rsidP="00A710B4">
            <w:pPr>
              <w:spacing w:before="240" w:after="160"/>
              <w:contextualSpacing/>
              <w:rPr>
                <w:rFonts w:ascii="Times New Roman" w:hAnsi="Times New Roman" w:cs="Times New Roman"/>
                <w:sz w:val="24"/>
                <w:szCs w:val="24"/>
              </w:rPr>
            </w:pPr>
          </w:p>
          <w:p w14:paraId="665A7B9D" w14:textId="1FAA6DE7" w:rsidR="004756B2" w:rsidRPr="002A3DDB" w:rsidRDefault="004756B2"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For</w:t>
            </w:r>
            <w:r w:rsidR="00A07A32" w:rsidRPr="002A3DDB">
              <w:rPr>
                <w:rFonts w:ascii="Times New Roman" w:hAnsi="Times New Roman" w:cs="Times New Roman"/>
                <w:sz w:val="24"/>
                <w:szCs w:val="24"/>
              </w:rPr>
              <w:t xml:space="preserve"> CORE IV, the EPP continues to p</w:t>
            </w:r>
            <w:r w:rsidRPr="002A3DDB">
              <w:rPr>
                <w:rFonts w:ascii="Times New Roman" w:hAnsi="Times New Roman" w:cs="Times New Roman"/>
                <w:sz w:val="24"/>
                <w:szCs w:val="24"/>
              </w:rPr>
              <w:t>ilot edTPA in advance of state adoption</w:t>
            </w:r>
            <w:r w:rsidR="00AA3BE6" w:rsidRPr="002A3DDB">
              <w:rPr>
                <w:rFonts w:ascii="Times New Roman" w:hAnsi="Times New Roman" w:cs="Times New Roman"/>
                <w:sz w:val="24"/>
                <w:szCs w:val="24"/>
              </w:rPr>
              <w:t>. Three program</w:t>
            </w:r>
            <w:r w:rsidR="00DD7D74" w:rsidRPr="002A3DDB">
              <w:rPr>
                <w:rFonts w:ascii="Times New Roman" w:hAnsi="Times New Roman" w:cs="Times New Roman"/>
                <w:sz w:val="24"/>
                <w:szCs w:val="24"/>
              </w:rPr>
              <w:t>s</w:t>
            </w:r>
            <w:r w:rsidR="00AA3BE6" w:rsidRPr="002A3DDB">
              <w:rPr>
                <w:rFonts w:ascii="Times New Roman" w:hAnsi="Times New Roman" w:cs="Times New Roman"/>
                <w:sz w:val="24"/>
                <w:szCs w:val="24"/>
              </w:rPr>
              <w:t xml:space="preserve"> piloted </w:t>
            </w:r>
            <w:r w:rsidR="00D71C09" w:rsidRPr="002A3DDB">
              <w:rPr>
                <w:rFonts w:ascii="Times New Roman" w:hAnsi="Times New Roman" w:cs="Times New Roman"/>
                <w:sz w:val="24"/>
                <w:szCs w:val="24"/>
              </w:rPr>
              <w:t xml:space="preserve">edTPA </w:t>
            </w:r>
            <w:r w:rsidR="00DD7D74" w:rsidRPr="002A3DDB">
              <w:rPr>
                <w:rFonts w:ascii="Times New Roman" w:hAnsi="Times New Roman" w:cs="Times New Roman"/>
                <w:sz w:val="24"/>
                <w:szCs w:val="24"/>
              </w:rPr>
              <w:t xml:space="preserve">in </w:t>
            </w:r>
            <w:r w:rsidR="00D71C09" w:rsidRPr="002A3DDB">
              <w:rPr>
                <w:rFonts w:ascii="Times New Roman" w:hAnsi="Times New Roman" w:cs="Times New Roman"/>
                <w:sz w:val="24"/>
                <w:szCs w:val="24"/>
              </w:rPr>
              <w:t>spring 2016: Secondary Education</w:t>
            </w:r>
            <w:r w:rsidR="00D93173" w:rsidRPr="002A3DDB">
              <w:rPr>
                <w:rFonts w:ascii="Times New Roman" w:hAnsi="Times New Roman" w:cs="Times New Roman"/>
                <w:sz w:val="24"/>
                <w:szCs w:val="24"/>
              </w:rPr>
              <w:t xml:space="preserve"> with t</w:t>
            </w:r>
            <w:r w:rsidR="00D71C09" w:rsidRPr="002A3DDB">
              <w:rPr>
                <w:rFonts w:ascii="Times New Roman" w:hAnsi="Times New Roman" w:cs="Times New Roman"/>
                <w:sz w:val="24"/>
                <w:szCs w:val="24"/>
              </w:rPr>
              <w:t>h</w:t>
            </w:r>
            <w:r w:rsidR="00D93173" w:rsidRPr="002A3DDB">
              <w:rPr>
                <w:rFonts w:ascii="Times New Roman" w:hAnsi="Times New Roman" w:cs="Times New Roman"/>
                <w:sz w:val="24"/>
                <w:szCs w:val="24"/>
              </w:rPr>
              <w:t>e</w:t>
            </w:r>
            <w:r w:rsidR="00D71C09" w:rsidRPr="002A3DDB">
              <w:rPr>
                <w:rFonts w:ascii="Times New Roman" w:hAnsi="Times New Roman" w:cs="Times New Roman"/>
                <w:sz w:val="24"/>
                <w:szCs w:val="24"/>
              </w:rPr>
              <w:t xml:space="preserve"> exception of mathematics, Physical Educ</w:t>
            </w:r>
            <w:r w:rsidR="00DD7D74" w:rsidRPr="002A3DDB">
              <w:rPr>
                <w:rFonts w:ascii="Times New Roman" w:hAnsi="Times New Roman" w:cs="Times New Roman"/>
                <w:sz w:val="24"/>
                <w:szCs w:val="24"/>
              </w:rPr>
              <w:t xml:space="preserve">ation, and Elementary Education.  In </w:t>
            </w:r>
            <w:r w:rsidR="00D71C09" w:rsidRPr="002A3DDB">
              <w:rPr>
                <w:rFonts w:ascii="Times New Roman" w:hAnsi="Times New Roman" w:cs="Times New Roman"/>
                <w:sz w:val="24"/>
                <w:szCs w:val="24"/>
              </w:rPr>
              <w:t xml:space="preserve">Fall 2016 elementary education continues to pilot and </w:t>
            </w:r>
            <w:r w:rsidR="00DD7D74" w:rsidRPr="002A3DDB">
              <w:rPr>
                <w:rFonts w:ascii="Times New Roman" w:hAnsi="Times New Roman" w:cs="Times New Roman"/>
                <w:sz w:val="24"/>
                <w:szCs w:val="24"/>
              </w:rPr>
              <w:t xml:space="preserve">in </w:t>
            </w:r>
            <w:r w:rsidR="00D71C09" w:rsidRPr="002A3DDB">
              <w:rPr>
                <w:rFonts w:ascii="Times New Roman" w:hAnsi="Times New Roman" w:cs="Times New Roman"/>
                <w:sz w:val="24"/>
                <w:szCs w:val="24"/>
              </w:rPr>
              <w:t xml:space="preserve">spring 2017, the EPP will continue to pilot across all programs. </w:t>
            </w:r>
          </w:p>
          <w:p w14:paraId="6246B9A4" w14:textId="77777777" w:rsidR="004756B2" w:rsidRPr="002A3DDB" w:rsidRDefault="004756B2" w:rsidP="00A710B4">
            <w:pPr>
              <w:spacing w:before="240" w:after="160"/>
              <w:contextualSpacing/>
              <w:rPr>
                <w:rFonts w:ascii="Times New Roman" w:hAnsi="Times New Roman" w:cs="Times New Roman"/>
                <w:sz w:val="24"/>
                <w:szCs w:val="24"/>
              </w:rPr>
            </w:pPr>
          </w:p>
          <w:p w14:paraId="01D4D912" w14:textId="16D7AC26" w:rsidR="00264AE7" w:rsidRPr="002A3DDB" w:rsidRDefault="004756B2"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In addition </w:t>
            </w:r>
            <w:r w:rsidR="00612945" w:rsidRPr="002A3DDB">
              <w:rPr>
                <w:rFonts w:ascii="Times New Roman" w:hAnsi="Times New Roman" w:cs="Times New Roman"/>
                <w:sz w:val="24"/>
                <w:szCs w:val="24"/>
              </w:rPr>
              <w:t>to each of the CORE portfolios of performance based learning and edTPA, the EPP has extended observational data during clinical</w:t>
            </w:r>
            <w:r w:rsidR="00371768" w:rsidRPr="002A3DDB">
              <w:rPr>
                <w:rFonts w:ascii="Times New Roman" w:hAnsi="Times New Roman" w:cs="Times New Roman"/>
                <w:sz w:val="24"/>
                <w:szCs w:val="24"/>
              </w:rPr>
              <w:t xml:space="preserve"> experiences</w:t>
            </w:r>
            <w:r w:rsidR="00612945" w:rsidRPr="002A3DDB">
              <w:rPr>
                <w:rFonts w:ascii="Times New Roman" w:hAnsi="Times New Roman" w:cs="Times New Roman"/>
                <w:sz w:val="24"/>
                <w:szCs w:val="24"/>
              </w:rPr>
              <w:t xml:space="preserve"> to include CORE I and CORE II.</w:t>
            </w:r>
            <w:r w:rsidR="00371768" w:rsidRPr="002A3DDB">
              <w:rPr>
                <w:rFonts w:ascii="Times New Roman" w:hAnsi="Times New Roman" w:cs="Times New Roman"/>
                <w:sz w:val="24"/>
                <w:szCs w:val="24"/>
              </w:rPr>
              <w:t xml:space="preserve"> </w:t>
            </w:r>
            <w:r w:rsidR="000A4851" w:rsidRPr="002A3DDB">
              <w:rPr>
                <w:rFonts w:ascii="Times New Roman" w:hAnsi="Times New Roman" w:cs="Times New Roman"/>
                <w:sz w:val="24"/>
                <w:szCs w:val="24"/>
              </w:rPr>
              <w:t>For each of these COREs, eight (8) competencies aligned with the Connecticut Common Core of Teaching standards are assessed beginning fall 2016. See pages 4-6 of the Clinical Handbook</w:t>
            </w:r>
            <w:r w:rsidR="00DD7D74" w:rsidRPr="002A3DDB">
              <w:rPr>
                <w:rFonts w:ascii="Times New Roman" w:hAnsi="Times New Roman" w:cs="Times New Roman"/>
                <w:sz w:val="24"/>
                <w:szCs w:val="24"/>
              </w:rPr>
              <w:t xml:space="preserve"> submitted with the IR</w:t>
            </w:r>
            <w:r w:rsidR="000A4851" w:rsidRPr="002A3DDB">
              <w:rPr>
                <w:rFonts w:ascii="Times New Roman" w:hAnsi="Times New Roman" w:cs="Times New Roman"/>
                <w:sz w:val="24"/>
                <w:szCs w:val="24"/>
              </w:rPr>
              <w:t>.</w:t>
            </w:r>
          </w:p>
          <w:p w14:paraId="0062F1DF" w14:textId="77777777" w:rsidR="000A4851" w:rsidRPr="002A3DDB" w:rsidRDefault="000A4851" w:rsidP="00A710B4">
            <w:pPr>
              <w:spacing w:before="240" w:after="160"/>
              <w:contextualSpacing/>
              <w:rPr>
                <w:rFonts w:ascii="Times New Roman" w:hAnsi="Times New Roman" w:cs="Times New Roman"/>
                <w:sz w:val="24"/>
                <w:szCs w:val="24"/>
              </w:rPr>
            </w:pPr>
          </w:p>
          <w:p w14:paraId="629E7C94" w14:textId="77777777" w:rsidR="000A4851" w:rsidRPr="002A3DDB" w:rsidRDefault="000A4851"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Data from both the performance based portfolios and observation data generated during clinical experiences will be used to corroborate candidate outcomes. </w:t>
            </w:r>
          </w:p>
          <w:p w14:paraId="218EE8B1" w14:textId="77777777" w:rsidR="000A4851" w:rsidRPr="002A3DDB" w:rsidRDefault="000A4851" w:rsidP="00A710B4">
            <w:pPr>
              <w:spacing w:before="240" w:after="160"/>
              <w:contextualSpacing/>
              <w:rPr>
                <w:rFonts w:ascii="Times New Roman" w:hAnsi="Times New Roman" w:cs="Times New Roman"/>
                <w:sz w:val="24"/>
                <w:szCs w:val="24"/>
              </w:rPr>
            </w:pPr>
          </w:p>
          <w:p w14:paraId="065F30CD" w14:textId="6540635D" w:rsidR="000A4851" w:rsidRPr="002A3DDB" w:rsidRDefault="000A4851"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Master’s level data comprise two </w:t>
            </w:r>
            <w:r w:rsidR="00667962" w:rsidRPr="002A3DDB">
              <w:rPr>
                <w:rFonts w:ascii="Times New Roman" w:hAnsi="Times New Roman" w:cs="Times New Roman"/>
                <w:sz w:val="24"/>
                <w:szCs w:val="24"/>
              </w:rPr>
              <w:t>groups. The</w:t>
            </w:r>
            <w:r w:rsidR="00286B2A" w:rsidRPr="002A3DDB">
              <w:rPr>
                <w:rFonts w:ascii="Times New Roman" w:hAnsi="Times New Roman" w:cs="Times New Roman"/>
                <w:sz w:val="24"/>
                <w:szCs w:val="24"/>
              </w:rPr>
              <w:t>se</w:t>
            </w:r>
            <w:r w:rsidR="001E5926" w:rsidRPr="002A3DDB">
              <w:rPr>
                <w:rFonts w:ascii="Times New Roman" w:hAnsi="Times New Roman" w:cs="Times New Roman"/>
                <w:sz w:val="24"/>
                <w:szCs w:val="24"/>
              </w:rPr>
              <w:t xml:space="preserve"> are</w:t>
            </w:r>
            <w:r w:rsidR="00286B2A" w:rsidRPr="002A3DDB">
              <w:rPr>
                <w:rFonts w:ascii="Times New Roman" w:hAnsi="Times New Roman" w:cs="Times New Roman"/>
                <w:sz w:val="24"/>
                <w:szCs w:val="24"/>
              </w:rPr>
              <w:t xml:space="preserve"> </w:t>
            </w:r>
            <w:r w:rsidR="00956563" w:rsidRPr="002A3DDB">
              <w:rPr>
                <w:rFonts w:ascii="Times New Roman" w:hAnsi="Times New Roman" w:cs="Times New Roman"/>
                <w:sz w:val="24"/>
                <w:szCs w:val="24"/>
              </w:rPr>
              <w:t>master’s level</w:t>
            </w:r>
            <w:r w:rsidR="001E5926" w:rsidRPr="002A3DDB">
              <w:rPr>
                <w:rFonts w:ascii="Times New Roman" w:hAnsi="Times New Roman" w:cs="Times New Roman"/>
                <w:sz w:val="24"/>
                <w:szCs w:val="24"/>
              </w:rPr>
              <w:t>, initial certification candidates</w:t>
            </w:r>
            <w:r w:rsidR="00A727C0" w:rsidRPr="002A3DDB">
              <w:rPr>
                <w:rFonts w:ascii="Times New Roman" w:hAnsi="Times New Roman" w:cs="Times New Roman"/>
                <w:sz w:val="24"/>
                <w:szCs w:val="24"/>
              </w:rPr>
              <w:t xml:space="preserve">. They do not hold </w:t>
            </w:r>
            <w:r w:rsidR="00904E09" w:rsidRPr="002A3DDB">
              <w:rPr>
                <w:rFonts w:ascii="Times New Roman" w:hAnsi="Times New Roman" w:cs="Times New Roman"/>
                <w:sz w:val="24"/>
                <w:szCs w:val="24"/>
              </w:rPr>
              <w:t xml:space="preserve">Connecticut </w:t>
            </w:r>
            <w:r w:rsidR="00A727C0" w:rsidRPr="002A3DDB">
              <w:rPr>
                <w:rFonts w:ascii="Times New Roman" w:hAnsi="Times New Roman" w:cs="Times New Roman"/>
                <w:sz w:val="24"/>
                <w:szCs w:val="24"/>
              </w:rPr>
              <w:t>state licensure</w:t>
            </w:r>
            <w:r w:rsidR="00904E09" w:rsidRPr="002A3DDB">
              <w:rPr>
                <w:rFonts w:ascii="Times New Roman" w:hAnsi="Times New Roman" w:cs="Times New Roman"/>
                <w:sz w:val="24"/>
                <w:szCs w:val="24"/>
              </w:rPr>
              <w:t xml:space="preserve"> prior to admission. The </w:t>
            </w:r>
            <w:r w:rsidR="00667962" w:rsidRPr="002A3DDB">
              <w:rPr>
                <w:rFonts w:ascii="Times New Roman" w:hAnsi="Times New Roman" w:cs="Times New Roman"/>
                <w:sz w:val="24"/>
                <w:szCs w:val="24"/>
              </w:rPr>
              <w:t>second group</w:t>
            </w:r>
            <w:r w:rsidR="00904E09" w:rsidRPr="002A3DDB">
              <w:rPr>
                <w:rFonts w:ascii="Times New Roman" w:hAnsi="Times New Roman" w:cs="Times New Roman"/>
                <w:sz w:val="24"/>
                <w:szCs w:val="24"/>
              </w:rPr>
              <w:t xml:space="preserve"> of master’s level students are advanced students. These students are not seeking state licensure via program completion. Often times </w:t>
            </w:r>
            <w:r w:rsidR="00667962" w:rsidRPr="002A3DDB">
              <w:rPr>
                <w:rFonts w:ascii="Times New Roman" w:hAnsi="Times New Roman" w:cs="Times New Roman"/>
                <w:sz w:val="24"/>
                <w:szCs w:val="24"/>
              </w:rPr>
              <w:t xml:space="preserve">they already hold </w:t>
            </w:r>
            <w:r w:rsidR="000755B3" w:rsidRPr="002A3DDB">
              <w:rPr>
                <w:rFonts w:ascii="Times New Roman" w:hAnsi="Times New Roman" w:cs="Times New Roman"/>
                <w:sz w:val="24"/>
                <w:szCs w:val="24"/>
              </w:rPr>
              <w:t>professional</w:t>
            </w:r>
            <w:r w:rsidR="00667962" w:rsidRPr="002A3DDB">
              <w:rPr>
                <w:rFonts w:ascii="Times New Roman" w:hAnsi="Times New Roman" w:cs="Times New Roman"/>
                <w:sz w:val="24"/>
                <w:szCs w:val="24"/>
              </w:rPr>
              <w:t xml:space="preserve"> credentials </w:t>
            </w:r>
            <w:r w:rsidR="000755B3" w:rsidRPr="002A3DDB">
              <w:rPr>
                <w:rFonts w:ascii="Times New Roman" w:hAnsi="Times New Roman" w:cs="Times New Roman"/>
                <w:sz w:val="24"/>
                <w:szCs w:val="24"/>
              </w:rPr>
              <w:t xml:space="preserve">either in the state of Connecticut or another state. Current Advanced level assessments were reported with the </w:t>
            </w:r>
            <w:r w:rsidR="00DD7D74" w:rsidRPr="002A3DDB">
              <w:rPr>
                <w:rFonts w:ascii="Times New Roman" w:hAnsi="Times New Roman" w:cs="Times New Roman"/>
                <w:sz w:val="24"/>
                <w:szCs w:val="24"/>
              </w:rPr>
              <w:t>IR</w:t>
            </w:r>
            <w:r w:rsidR="000755B3" w:rsidRPr="002A3DDB">
              <w:rPr>
                <w:rFonts w:ascii="Times New Roman" w:hAnsi="Times New Roman" w:cs="Times New Roman"/>
                <w:sz w:val="24"/>
                <w:szCs w:val="24"/>
              </w:rPr>
              <w:t xml:space="preserve">. </w:t>
            </w:r>
          </w:p>
          <w:p w14:paraId="4504F1F3" w14:textId="77777777" w:rsidR="000755B3" w:rsidRPr="002A3DDB" w:rsidRDefault="000755B3" w:rsidP="00A710B4">
            <w:pPr>
              <w:spacing w:before="240" w:after="160"/>
              <w:contextualSpacing/>
              <w:rPr>
                <w:rFonts w:ascii="Times New Roman" w:hAnsi="Times New Roman" w:cs="Times New Roman"/>
                <w:sz w:val="24"/>
                <w:szCs w:val="24"/>
              </w:rPr>
            </w:pPr>
          </w:p>
          <w:p w14:paraId="69C2DB01" w14:textId="3CDC1EB0" w:rsidR="000755B3" w:rsidRPr="002A3DDB" w:rsidRDefault="000755B3"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The EPP, however, has approved the </w:t>
            </w:r>
            <w:r w:rsidR="00BB779B" w:rsidRPr="002A3DDB">
              <w:rPr>
                <w:rFonts w:ascii="Times New Roman" w:hAnsi="Times New Roman" w:cs="Times New Roman"/>
                <w:sz w:val="24"/>
                <w:szCs w:val="24"/>
              </w:rPr>
              <w:t>closure and teach-out</w:t>
            </w:r>
            <w:r w:rsidRPr="002A3DDB">
              <w:rPr>
                <w:rFonts w:ascii="Times New Roman" w:hAnsi="Times New Roman" w:cs="Times New Roman"/>
                <w:sz w:val="24"/>
                <w:szCs w:val="24"/>
              </w:rPr>
              <w:t xml:space="preserve"> of existing advanced programs (Early Childhood, Elementary, Secondary, and Reading Language Art)</w:t>
            </w:r>
            <w:r w:rsidR="00BB779B" w:rsidRPr="002A3DDB">
              <w:rPr>
                <w:rFonts w:ascii="Times New Roman" w:hAnsi="Times New Roman" w:cs="Times New Roman"/>
                <w:sz w:val="24"/>
                <w:szCs w:val="24"/>
              </w:rPr>
              <w:t>, once the new advanced master’s program is approved by the State</w:t>
            </w:r>
            <w:r w:rsidR="00007A74">
              <w:rPr>
                <w:rFonts w:ascii="Times New Roman" w:hAnsi="Times New Roman" w:cs="Times New Roman"/>
                <w:sz w:val="24"/>
                <w:szCs w:val="24"/>
              </w:rPr>
              <w:t xml:space="preserve"> (see Appendix D1 for minutes from EPP meeting)</w:t>
            </w:r>
            <w:r w:rsidR="00BB779B" w:rsidRPr="002A3DDB">
              <w:rPr>
                <w:rFonts w:ascii="Times New Roman" w:hAnsi="Times New Roman" w:cs="Times New Roman"/>
                <w:sz w:val="24"/>
                <w:szCs w:val="24"/>
              </w:rPr>
              <w:t>. The new program will consist of assessments for clinical, content knowledge, and data/research literacy. (See advanced Master’s proposal, including assessment schema</w:t>
            </w:r>
            <w:r w:rsidR="008814C9" w:rsidRPr="002A3DDB">
              <w:rPr>
                <w:rFonts w:ascii="Times New Roman" w:hAnsi="Times New Roman" w:cs="Times New Roman"/>
                <w:sz w:val="24"/>
                <w:szCs w:val="24"/>
              </w:rPr>
              <w:t xml:space="preserve"> in </w:t>
            </w:r>
            <w:r w:rsidR="00007A74">
              <w:rPr>
                <w:rFonts w:ascii="Times New Roman" w:hAnsi="Times New Roman" w:cs="Times New Roman"/>
                <w:sz w:val="24"/>
                <w:szCs w:val="24"/>
              </w:rPr>
              <w:t>Appendix D2</w:t>
            </w:r>
            <w:r w:rsidR="00BB779B" w:rsidRPr="002A3DDB">
              <w:rPr>
                <w:rFonts w:ascii="Times New Roman" w:hAnsi="Times New Roman" w:cs="Times New Roman"/>
                <w:sz w:val="24"/>
                <w:szCs w:val="24"/>
              </w:rPr>
              <w:t xml:space="preserve">). </w:t>
            </w:r>
            <w:r w:rsidR="00007A74">
              <w:rPr>
                <w:rFonts w:ascii="Times New Roman" w:hAnsi="Times New Roman" w:cs="Times New Roman"/>
                <w:sz w:val="24"/>
                <w:szCs w:val="24"/>
              </w:rPr>
              <w:t xml:space="preserve">  Additionally, the EPP has revised the previously approved Candidate Learning Outcomes to show alignment to Advanced CAEP standards (Appendix A1)</w:t>
            </w:r>
            <w:r w:rsidR="000439F5">
              <w:rPr>
                <w:rFonts w:ascii="Times New Roman" w:hAnsi="Times New Roman" w:cs="Times New Roman"/>
                <w:sz w:val="24"/>
                <w:szCs w:val="24"/>
              </w:rPr>
              <w:t>.</w:t>
            </w:r>
          </w:p>
          <w:p w14:paraId="134BDE01" w14:textId="77777777" w:rsidR="00BB0FC6" w:rsidRPr="002A3DDB" w:rsidRDefault="00BB0FC6" w:rsidP="00BB0FC6">
            <w:pPr>
              <w:spacing w:before="240" w:after="160"/>
              <w:contextualSpacing/>
              <w:rPr>
                <w:rFonts w:ascii="Times New Roman" w:hAnsi="Times New Roman" w:cs="Times New Roman"/>
                <w:sz w:val="24"/>
                <w:szCs w:val="24"/>
              </w:rPr>
            </w:pPr>
          </w:p>
          <w:p w14:paraId="22743295" w14:textId="44C5C827" w:rsidR="00BB0FC6" w:rsidRPr="002A3DDB" w:rsidRDefault="00BB0FC6" w:rsidP="00BB0FC6">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Impact on P-12 Student Learning is address</w:t>
            </w:r>
            <w:r w:rsidR="008814C9" w:rsidRPr="002A3DDB">
              <w:rPr>
                <w:rFonts w:ascii="Times New Roman" w:hAnsi="Times New Roman" w:cs="Times New Roman"/>
                <w:sz w:val="24"/>
                <w:szCs w:val="24"/>
              </w:rPr>
              <w:t>ed</w:t>
            </w:r>
            <w:r w:rsidRPr="002A3DDB">
              <w:rPr>
                <w:rFonts w:ascii="Times New Roman" w:hAnsi="Times New Roman" w:cs="Times New Roman"/>
                <w:sz w:val="24"/>
                <w:szCs w:val="24"/>
              </w:rPr>
              <w:t xml:space="preserve"> through current, emergent, and future assessments within the EPP. Candidates’ impact on P-12 student learning continues to be evaluated through the student te</w:t>
            </w:r>
            <w:r w:rsidR="009A0BE1">
              <w:rPr>
                <w:rFonts w:ascii="Times New Roman" w:hAnsi="Times New Roman" w:cs="Times New Roman"/>
                <w:sz w:val="24"/>
                <w:szCs w:val="24"/>
              </w:rPr>
              <w:t xml:space="preserve">aching evaluation instrument.  </w:t>
            </w:r>
            <w:r w:rsidRPr="002A3DDB">
              <w:rPr>
                <w:rFonts w:ascii="Times New Roman" w:hAnsi="Times New Roman" w:cs="Times New Roman"/>
                <w:sz w:val="24"/>
                <w:szCs w:val="24"/>
              </w:rPr>
              <w:t xml:space="preserve">See </w:t>
            </w:r>
            <w:r w:rsidR="008814C9" w:rsidRPr="002A3DDB">
              <w:rPr>
                <w:rFonts w:ascii="Times New Roman" w:hAnsi="Times New Roman" w:cs="Times New Roman"/>
                <w:sz w:val="24"/>
                <w:szCs w:val="24"/>
              </w:rPr>
              <w:t xml:space="preserve">disaggregated data </w:t>
            </w:r>
            <w:r w:rsidR="009A0BE1">
              <w:rPr>
                <w:rFonts w:ascii="Times New Roman" w:hAnsi="Times New Roman" w:cs="Times New Roman"/>
                <w:sz w:val="24"/>
                <w:szCs w:val="24"/>
              </w:rPr>
              <w:t xml:space="preserve">(Appendices E2-E8) </w:t>
            </w:r>
            <w:r w:rsidR="008814C9" w:rsidRPr="002A3DDB">
              <w:rPr>
                <w:rFonts w:ascii="Times New Roman" w:hAnsi="Times New Roman" w:cs="Times New Roman"/>
                <w:sz w:val="24"/>
                <w:szCs w:val="24"/>
              </w:rPr>
              <w:t xml:space="preserve">submitted in appendices and refer to the chart </w:t>
            </w:r>
            <w:r w:rsidR="009A0BE1">
              <w:rPr>
                <w:rFonts w:ascii="Times New Roman" w:hAnsi="Times New Roman" w:cs="Times New Roman"/>
                <w:sz w:val="24"/>
                <w:szCs w:val="24"/>
              </w:rPr>
              <w:t xml:space="preserve">(Appendix A3) </w:t>
            </w:r>
            <w:r w:rsidR="008814C9" w:rsidRPr="002A3DDB">
              <w:rPr>
                <w:rFonts w:ascii="Times New Roman" w:hAnsi="Times New Roman" w:cs="Times New Roman"/>
                <w:sz w:val="24"/>
                <w:szCs w:val="24"/>
              </w:rPr>
              <w:t>for specific items on the instrument that address P-12 student learning</w:t>
            </w:r>
            <w:r w:rsidRPr="002A3DDB">
              <w:rPr>
                <w:rFonts w:ascii="Times New Roman" w:hAnsi="Times New Roman" w:cs="Times New Roman"/>
                <w:sz w:val="24"/>
                <w:szCs w:val="24"/>
              </w:rPr>
              <w:t xml:space="preserve">. </w:t>
            </w:r>
          </w:p>
          <w:p w14:paraId="5284E582" w14:textId="77777777" w:rsidR="00BB0FC6" w:rsidRPr="002A3DDB" w:rsidRDefault="00BB0FC6" w:rsidP="00BB0FC6">
            <w:pPr>
              <w:spacing w:before="240" w:after="160"/>
              <w:contextualSpacing/>
              <w:rPr>
                <w:rFonts w:ascii="Times New Roman" w:hAnsi="Times New Roman" w:cs="Times New Roman"/>
                <w:sz w:val="24"/>
                <w:szCs w:val="24"/>
              </w:rPr>
            </w:pPr>
          </w:p>
          <w:p w14:paraId="676BE407" w14:textId="0537AE17" w:rsidR="00BB0FC6" w:rsidRPr="002A3DDB" w:rsidRDefault="00BB0FC6" w:rsidP="00BB0FC6">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Additionally, the Response to Intervention (RTI/SRBI) assignment for the Core II portfolio will provide information on our initial candidates’ abilities to use data to plan and evaluate their impact on student learning.</w:t>
            </w:r>
          </w:p>
          <w:p w14:paraId="410679EB" w14:textId="77777777" w:rsidR="001F660F" w:rsidRPr="002A3DDB" w:rsidRDefault="001F660F" w:rsidP="001F660F">
            <w:pPr>
              <w:spacing w:before="240" w:after="160"/>
              <w:contextualSpacing/>
              <w:rPr>
                <w:rFonts w:ascii="Times New Roman" w:hAnsi="Times New Roman" w:cs="Times New Roman"/>
                <w:sz w:val="24"/>
                <w:szCs w:val="24"/>
              </w:rPr>
            </w:pPr>
          </w:p>
          <w:p w14:paraId="4E43F745" w14:textId="05C6EA4F" w:rsidR="001F660F" w:rsidRPr="002A3DDB" w:rsidRDefault="001F660F" w:rsidP="00A710B4">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Data from the spring 2016 edTPA pilot also exemplified candidates’ impact on p-12 student learning and/or development. </w:t>
            </w:r>
          </w:p>
          <w:p w14:paraId="2071FF17" w14:textId="77777777" w:rsidR="001F660F" w:rsidRPr="002A3DDB" w:rsidRDefault="001F660F" w:rsidP="00A710B4">
            <w:pPr>
              <w:spacing w:before="240" w:after="160"/>
              <w:contextualSpacing/>
              <w:rPr>
                <w:rFonts w:ascii="Times New Roman" w:hAnsi="Times New Roman" w:cs="Times New Roman"/>
                <w:sz w:val="24"/>
                <w:szCs w:val="24"/>
              </w:rPr>
            </w:pPr>
          </w:p>
          <w:p w14:paraId="3365D630" w14:textId="77777777" w:rsidR="001F660F" w:rsidRPr="002A3DDB" w:rsidRDefault="001F660F" w:rsidP="001F660F">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u w:val="single"/>
              </w:rPr>
              <w:t>Advanced Programs</w:t>
            </w:r>
            <w:r w:rsidRPr="002A3DDB">
              <w:rPr>
                <w:rFonts w:ascii="Times New Roman" w:hAnsi="Times New Roman" w:cs="Times New Roman"/>
                <w:sz w:val="24"/>
                <w:szCs w:val="24"/>
              </w:rPr>
              <w:t xml:space="preserve">: </w:t>
            </w:r>
          </w:p>
          <w:p w14:paraId="1DFA65B8" w14:textId="77777777" w:rsidR="001F660F" w:rsidRPr="002A3DDB" w:rsidRDefault="001F660F" w:rsidP="001F660F">
            <w:pPr>
              <w:spacing w:before="240" w:after="160"/>
              <w:contextualSpacing/>
              <w:rPr>
                <w:rFonts w:ascii="Times New Roman" w:hAnsi="Times New Roman" w:cs="Times New Roman"/>
                <w:sz w:val="24"/>
                <w:szCs w:val="24"/>
              </w:rPr>
            </w:pPr>
          </w:p>
          <w:p w14:paraId="5053D3D8" w14:textId="7AAC2C04" w:rsidR="001F660F" w:rsidRPr="002A3DDB" w:rsidRDefault="001F660F" w:rsidP="001F660F">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Currently the clinical assessment in EDU 518, English Language Learners provides data on our advanced candidates’ impact on student learning.  Data </w:t>
            </w:r>
            <w:r w:rsidR="00E14CA2" w:rsidRPr="002A3DDB">
              <w:rPr>
                <w:rFonts w:ascii="Times New Roman" w:hAnsi="Times New Roman" w:cs="Times New Roman"/>
                <w:sz w:val="24"/>
                <w:szCs w:val="24"/>
              </w:rPr>
              <w:t xml:space="preserve">were </w:t>
            </w:r>
            <w:r w:rsidRPr="002A3DDB">
              <w:rPr>
                <w:rFonts w:ascii="Times New Roman" w:hAnsi="Times New Roman" w:cs="Times New Roman"/>
                <w:sz w:val="24"/>
                <w:szCs w:val="24"/>
              </w:rPr>
              <w:t>previously provided.</w:t>
            </w:r>
          </w:p>
          <w:p w14:paraId="531F503B" w14:textId="77777777" w:rsidR="001F660F" w:rsidRPr="002A3DDB" w:rsidRDefault="001F660F" w:rsidP="001F660F">
            <w:pPr>
              <w:spacing w:before="240" w:after="160"/>
              <w:contextualSpacing/>
              <w:rPr>
                <w:rFonts w:ascii="Times New Roman" w:hAnsi="Times New Roman" w:cs="Times New Roman"/>
                <w:sz w:val="24"/>
                <w:szCs w:val="24"/>
              </w:rPr>
            </w:pPr>
          </w:p>
          <w:p w14:paraId="21484C2B" w14:textId="751022B3" w:rsidR="00280A83" w:rsidRPr="002A3DDB" w:rsidRDefault="001F660F" w:rsidP="00332B57">
            <w:pPr>
              <w:spacing w:before="240" w:after="160"/>
              <w:contextualSpacing/>
              <w:rPr>
                <w:rFonts w:ascii="Times New Roman" w:hAnsi="Times New Roman" w:cs="Times New Roman"/>
                <w:sz w:val="24"/>
                <w:szCs w:val="24"/>
              </w:rPr>
            </w:pPr>
            <w:r w:rsidRPr="002A3DDB">
              <w:rPr>
                <w:rFonts w:ascii="Times New Roman" w:hAnsi="Times New Roman" w:cs="Times New Roman"/>
                <w:sz w:val="24"/>
                <w:szCs w:val="24"/>
              </w:rPr>
              <w:t xml:space="preserve">For the revised Advanced program, </w:t>
            </w:r>
            <w:r w:rsidR="00AD2A25" w:rsidRPr="002A3DDB">
              <w:rPr>
                <w:rFonts w:ascii="Times New Roman" w:hAnsi="Times New Roman" w:cs="Times New Roman"/>
                <w:sz w:val="24"/>
                <w:szCs w:val="24"/>
              </w:rPr>
              <w:t>please</w:t>
            </w:r>
            <w:r w:rsidR="009A0BE1">
              <w:rPr>
                <w:rFonts w:ascii="Times New Roman" w:hAnsi="Times New Roman" w:cs="Times New Roman"/>
                <w:sz w:val="24"/>
                <w:szCs w:val="24"/>
              </w:rPr>
              <w:t xml:space="preserve"> refer to Appendix D2 </w:t>
            </w:r>
            <w:r w:rsidR="00AD2A25" w:rsidRPr="002A3DDB">
              <w:rPr>
                <w:rFonts w:ascii="Times New Roman" w:hAnsi="Times New Roman" w:cs="Times New Roman"/>
                <w:sz w:val="24"/>
                <w:szCs w:val="24"/>
              </w:rPr>
              <w:t xml:space="preserve">outlining our proposed assessment scheme for evaluating the </w:t>
            </w:r>
            <w:r w:rsidRPr="002A3DDB">
              <w:rPr>
                <w:rFonts w:ascii="Times New Roman" w:hAnsi="Times New Roman" w:cs="Times New Roman"/>
                <w:sz w:val="24"/>
                <w:szCs w:val="24"/>
              </w:rPr>
              <w:t>impact on P-1</w:t>
            </w:r>
            <w:r w:rsidR="00AD2A25" w:rsidRPr="002A3DDB">
              <w:rPr>
                <w:rFonts w:ascii="Times New Roman" w:hAnsi="Times New Roman" w:cs="Times New Roman"/>
                <w:sz w:val="24"/>
                <w:szCs w:val="24"/>
              </w:rPr>
              <w:t>2 students.</w:t>
            </w:r>
          </w:p>
          <w:p w14:paraId="6D9ECC69" w14:textId="77777777" w:rsidR="000A4446" w:rsidRPr="002A3DDB" w:rsidRDefault="000A4446" w:rsidP="00332B57">
            <w:pPr>
              <w:spacing w:before="240" w:after="160"/>
              <w:contextualSpacing/>
              <w:rPr>
                <w:rFonts w:ascii="Times New Roman" w:hAnsi="Times New Roman" w:cs="Times New Roman"/>
                <w:sz w:val="24"/>
                <w:szCs w:val="24"/>
              </w:rPr>
            </w:pPr>
          </w:p>
          <w:p w14:paraId="2463A4CA" w14:textId="33A001DD" w:rsidR="000A4446" w:rsidRPr="002A3DDB" w:rsidRDefault="000A4446" w:rsidP="000A4446">
            <w:pPr>
              <w:spacing w:before="240" w:after="160"/>
              <w:contextualSpacing/>
              <w:rPr>
                <w:rFonts w:ascii="Times New Roman" w:hAnsi="Times New Roman" w:cs="Times New Roman"/>
                <w:b/>
                <w:i/>
                <w:sz w:val="24"/>
                <w:szCs w:val="24"/>
              </w:rPr>
            </w:pPr>
            <w:r w:rsidRPr="002A3DDB">
              <w:rPr>
                <w:rFonts w:ascii="Times New Roman" w:hAnsi="Times New Roman" w:cs="Times New Roman"/>
                <w:b/>
                <w:i/>
                <w:sz w:val="24"/>
                <w:szCs w:val="24"/>
              </w:rPr>
              <w:t>Other evidence requested by the BOE Team for validation will be provided during the onsite visit.</w:t>
            </w:r>
          </w:p>
        </w:tc>
      </w:tr>
      <w:tr w:rsidR="00663043" w:rsidRPr="002A3DDB" w14:paraId="01FD0EAC" w14:textId="77777777" w:rsidTr="00A027D1">
        <w:trPr>
          <w:trHeight w:val="3950"/>
        </w:trPr>
        <w:tc>
          <w:tcPr>
            <w:tcW w:w="1717" w:type="dxa"/>
          </w:tcPr>
          <w:p w14:paraId="5D02D663" w14:textId="4F7D23CE" w:rsidR="00663043" w:rsidRPr="002A3DDB" w:rsidRDefault="00663043" w:rsidP="00663043">
            <w:pPr>
              <w:jc w:val="center"/>
              <w:rPr>
                <w:rFonts w:ascii="Times New Roman" w:hAnsi="Times New Roman" w:cs="Times New Roman"/>
                <w:sz w:val="24"/>
                <w:szCs w:val="24"/>
              </w:rPr>
            </w:pPr>
          </w:p>
          <w:p w14:paraId="50E78BB3" w14:textId="77777777" w:rsidR="00663043" w:rsidRPr="002A3DDB" w:rsidRDefault="00663043" w:rsidP="00663043">
            <w:pPr>
              <w:jc w:val="center"/>
              <w:rPr>
                <w:rFonts w:ascii="Times New Roman" w:hAnsi="Times New Roman" w:cs="Times New Roman"/>
                <w:sz w:val="24"/>
                <w:szCs w:val="24"/>
              </w:rPr>
            </w:pPr>
          </w:p>
          <w:p w14:paraId="09063DCA" w14:textId="77777777" w:rsidR="00663043" w:rsidRPr="002A3DDB" w:rsidRDefault="00332B57" w:rsidP="00663043">
            <w:pPr>
              <w:jc w:val="center"/>
              <w:rPr>
                <w:rFonts w:ascii="Times New Roman" w:hAnsi="Times New Roman" w:cs="Times New Roman"/>
                <w:b/>
                <w:sz w:val="24"/>
                <w:szCs w:val="24"/>
              </w:rPr>
            </w:pPr>
            <w:r w:rsidRPr="002A3DDB">
              <w:rPr>
                <w:rFonts w:ascii="Times New Roman" w:hAnsi="Times New Roman" w:cs="Times New Roman"/>
                <w:b/>
                <w:sz w:val="24"/>
                <w:szCs w:val="24"/>
              </w:rPr>
              <w:t>Standard 2</w:t>
            </w:r>
          </w:p>
          <w:p w14:paraId="0ED3833C" w14:textId="77777777" w:rsidR="00332B57" w:rsidRPr="002A3DDB" w:rsidRDefault="00332B57" w:rsidP="00663043">
            <w:pPr>
              <w:jc w:val="center"/>
              <w:rPr>
                <w:rFonts w:ascii="Times New Roman" w:hAnsi="Times New Roman" w:cs="Times New Roman"/>
                <w:b/>
                <w:sz w:val="24"/>
                <w:szCs w:val="24"/>
              </w:rPr>
            </w:pPr>
          </w:p>
          <w:p w14:paraId="5DE735E8" w14:textId="635E4FC3" w:rsidR="00332B57" w:rsidRPr="002A3DDB" w:rsidRDefault="00332B57" w:rsidP="00663043">
            <w:pPr>
              <w:jc w:val="center"/>
              <w:rPr>
                <w:rFonts w:ascii="Times New Roman" w:hAnsi="Times New Roman" w:cs="Times New Roman"/>
                <w:b/>
                <w:sz w:val="24"/>
                <w:szCs w:val="24"/>
              </w:rPr>
            </w:pPr>
            <w:r w:rsidRPr="002A3DDB">
              <w:rPr>
                <w:rFonts w:ascii="Times New Roman" w:hAnsi="Times New Roman" w:cs="Times New Roman"/>
                <w:b/>
                <w:sz w:val="24"/>
                <w:szCs w:val="24"/>
              </w:rPr>
              <w:t>Assessment System and Unit Evaluation</w:t>
            </w:r>
          </w:p>
        </w:tc>
        <w:tc>
          <w:tcPr>
            <w:tcW w:w="2110" w:type="dxa"/>
          </w:tcPr>
          <w:p w14:paraId="05365188" w14:textId="77777777" w:rsidR="00663043" w:rsidRPr="002A3DDB" w:rsidRDefault="00663043" w:rsidP="00663043">
            <w:pPr>
              <w:pStyle w:val="TableParagraph"/>
              <w:rPr>
                <w:rFonts w:ascii="Times New Roman" w:eastAsia="Times New Roman" w:hAnsi="Times New Roman" w:cs="Times New Roman"/>
                <w:bCs/>
                <w:sz w:val="24"/>
                <w:szCs w:val="24"/>
              </w:rPr>
            </w:pPr>
          </w:p>
          <w:p w14:paraId="3426EA2C" w14:textId="77777777" w:rsidR="00332B57" w:rsidRPr="002A3DDB" w:rsidRDefault="00332B57" w:rsidP="00663043">
            <w:pPr>
              <w:pStyle w:val="TableParagraph"/>
              <w:rPr>
                <w:rFonts w:ascii="Times New Roman" w:eastAsia="Times New Roman" w:hAnsi="Times New Roman" w:cs="Times New Roman"/>
                <w:bCs/>
                <w:sz w:val="24"/>
                <w:szCs w:val="24"/>
              </w:rPr>
            </w:pPr>
            <w:r w:rsidRPr="002A3DDB">
              <w:rPr>
                <w:rFonts w:ascii="Times New Roman" w:eastAsia="Times New Roman" w:hAnsi="Times New Roman" w:cs="Times New Roman"/>
                <w:bCs/>
                <w:sz w:val="24"/>
                <w:szCs w:val="24"/>
              </w:rPr>
              <w:t>This standard was found to be unmet in the 2014 review</w:t>
            </w:r>
          </w:p>
          <w:p w14:paraId="53F256E6" w14:textId="77777777" w:rsidR="00332B57" w:rsidRPr="002A3DDB" w:rsidRDefault="00332B57" w:rsidP="00663043">
            <w:pPr>
              <w:pStyle w:val="TableParagraph"/>
              <w:rPr>
                <w:rFonts w:ascii="Times New Roman" w:eastAsia="Times New Roman" w:hAnsi="Times New Roman" w:cs="Times New Roman"/>
                <w:bCs/>
                <w:sz w:val="24"/>
                <w:szCs w:val="24"/>
              </w:rPr>
            </w:pPr>
          </w:p>
          <w:p w14:paraId="039E218E" w14:textId="01F59AC0" w:rsidR="00663043" w:rsidRPr="002A3DDB" w:rsidRDefault="00663043" w:rsidP="00663043">
            <w:pPr>
              <w:rPr>
                <w:rFonts w:ascii="Times New Roman" w:hAnsi="Times New Roman" w:cs="Times New Roman"/>
                <w:sz w:val="24"/>
                <w:szCs w:val="24"/>
              </w:rPr>
            </w:pPr>
          </w:p>
        </w:tc>
        <w:tc>
          <w:tcPr>
            <w:tcW w:w="2318" w:type="dxa"/>
          </w:tcPr>
          <w:p w14:paraId="6479F2F7" w14:textId="77777777" w:rsidR="00E7467E" w:rsidRPr="002A3DDB" w:rsidRDefault="00E7467E" w:rsidP="00E7467E">
            <w:pPr>
              <w:jc w:val="center"/>
              <w:rPr>
                <w:rFonts w:ascii="Times New Roman" w:hAnsi="Times New Roman" w:cs="Times New Roman"/>
                <w:sz w:val="24"/>
                <w:szCs w:val="24"/>
              </w:rPr>
            </w:pPr>
          </w:p>
          <w:p w14:paraId="356AD848" w14:textId="77777777" w:rsidR="00E7467E" w:rsidRPr="002A3DDB" w:rsidRDefault="00E7467E" w:rsidP="00E7467E">
            <w:pPr>
              <w:jc w:val="center"/>
              <w:rPr>
                <w:rFonts w:ascii="Times New Roman" w:hAnsi="Times New Roman" w:cs="Times New Roman"/>
                <w:sz w:val="24"/>
                <w:szCs w:val="24"/>
              </w:rPr>
            </w:pPr>
          </w:p>
          <w:p w14:paraId="5EF800DF" w14:textId="77777777" w:rsidR="00663043" w:rsidRPr="002A3DDB" w:rsidRDefault="00E7467E" w:rsidP="00E7467E">
            <w:pPr>
              <w:jc w:val="center"/>
              <w:rPr>
                <w:rFonts w:ascii="Times New Roman" w:hAnsi="Times New Roman" w:cs="Times New Roman"/>
                <w:sz w:val="24"/>
                <w:szCs w:val="24"/>
              </w:rPr>
            </w:pPr>
            <w:r w:rsidRPr="002A3DDB">
              <w:rPr>
                <w:rFonts w:ascii="Times New Roman" w:hAnsi="Times New Roman" w:cs="Times New Roman"/>
                <w:sz w:val="24"/>
                <w:szCs w:val="24"/>
              </w:rPr>
              <w:t>None</w:t>
            </w:r>
          </w:p>
        </w:tc>
        <w:tc>
          <w:tcPr>
            <w:tcW w:w="7805" w:type="dxa"/>
            <w:tcBorders>
              <w:bottom w:val="single" w:sz="4" w:space="0" w:color="auto"/>
            </w:tcBorders>
          </w:tcPr>
          <w:p w14:paraId="54AF8576" w14:textId="633A0687" w:rsidR="00B577A5" w:rsidRPr="002A3DDB" w:rsidRDefault="00123962" w:rsidP="00B577A5">
            <w:pPr>
              <w:rPr>
                <w:rFonts w:ascii="Times New Roman" w:hAnsi="Times New Roman" w:cs="Times New Roman"/>
                <w:sz w:val="24"/>
                <w:szCs w:val="24"/>
              </w:rPr>
            </w:pPr>
            <w:r w:rsidRPr="002A3DDB">
              <w:rPr>
                <w:rFonts w:ascii="Times New Roman" w:hAnsi="Times New Roman" w:cs="Times New Roman"/>
                <w:sz w:val="24"/>
                <w:szCs w:val="24"/>
              </w:rPr>
              <w:t xml:space="preserve">Data for the EPP are collected, analyzed, and used for decision making to ensure sound procedures and content for the advancement of candidates’ knowledge, skills, and professional disposition, as well as program operations supported by community input (e.g., host clinical teachers, university supervisors, Arts and Sciences Faculty, school leaders, and alumni). Data are collected at </w:t>
            </w:r>
            <w:r w:rsidR="00597B96" w:rsidRPr="002A3DDB">
              <w:rPr>
                <w:rFonts w:ascii="Times New Roman" w:hAnsi="Times New Roman" w:cs="Times New Roman"/>
                <w:sz w:val="24"/>
                <w:szCs w:val="24"/>
              </w:rPr>
              <w:t>three</w:t>
            </w:r>
            <w:r w:rsidRPr="002A3DDB">
              <w:rPr>
                <w:rFonts w:ascii="Times New Roman" w:hAnsi="Times New Roman" w:cs="Times New Roman"/>
                <w:sz w:val="24"/>
                <w:szCs w:val="24"/>
              </w:rPr>
              <w:t xml:space="preserve"> critical transitions points: Program admission, </w:t>
            </w:r>
            <w:r w:rsidR="00597B96" w:rsidRPr="002A3DDB">
              <w:rPr>
                <w:rFonts w:ascii="Times New Roman" w:hAnsi="Times New Roman" w:cs="Times New Roman"/>
                <w:sz w:val="24"/>
                <w:szCs w:val="24"/>
              </w:rPr>
              <w:t>mid-point (</w:t>
            </w:r>
            <w:r w:rsidR="00B577A5" w:rsidRPr="002A3DDB">
              <w:rPr>
                <w:rFonts w:ascii="Times New Roman" w:hAnsi="Times New Roman" w:cs="Times New Roman"/>
                <w:sz w:val="24"/>
                <w:szCs w:val="24"/>
              </w:rPr>
              <w:t>which includes early clinical experiences and entry into student teaching</w:t>
            </w:r>
            <w:r w:rsidR="00597B96" w:rsidRPr="002A3DDB">
              <w:rPr>
                <w:rFonts w:ascii="Times New Roman" w:hAnsi="Times New Roman" w:cs="Times New Roman"/>
                <w:sz w:val="24"/>
                <w:szCs w:val="24"/>
              </w:rPr>
              <w:t>), and exit</w:t>
            </w:r>
            <w:r w:rsidR="00B577A5" w:rsidRPr="002A3DDB">
              <w:rPr>
                <w:rFonts w:ascii="Times New Roman" w:hAnsi="Times New Roman" w:cs="Times New Roman"/>
                <w:sz w:val="24"/>
                <w:szCs w:val="24"/>
              </w:rPr>
              <w:t xml:space="preserve"> (leading up to licensure). The EPP currently assesses program alumni via graduate and employer surveys. (see </w:t>
            </w:r>
            <w:r w:rsidR="00332B57" w:rsidRPr="002A3DDB">
              <w:rPr>
                <w:rFonts w:ascii="Times New Roman" w:hAnsi="Times New Roman" w:cs="Times New Roman"/>
                <w:sz w:val="24"/>
                <w:szCs w:val="24"/>
              </w:rPr>
              <w:t xml:space="preserve">document on </w:t>
            </w:r>
            <w:r w:rsidR="00B577A5" w:rsidRPr="002A3DDB">
              <w:rPr>
                <w:rFonts w:ascii="Times New Roman" w:hAnsi="Times New Roman" w:cs="Times New Roman"/>
                <w:sz w:val="24"/>
                <w:szCs w:val="24"/>
              </w:rPr>
              <w:t>UAS Transition Points</w:t>
            </w:r>
            <w:r w:rsidR="00332B57" w:rsidRPr="002A3DDB">
              <w:rPr>
                <w:rFonts w:ascii="Times New Roman" w:hAnsi="Times New Roman" w:cs="Times New Roman"/>
                <w:sz w:val="24"/>
                <w:szCs w:val="24"/>
              </w:rPr>
              <w:t xml:space="preserve"> previously submitted</w:t>
            </w:r>
            <w:r w:rsidR="00B577A5" w:rsidRPr="002A3DDB">
              <w:rPr>
                <w:rFonts w:ascii="Times New Roman" w:hAnsi="Times New Roman" w:cs="Times New Roman"/>
                <w:sz w:val="24"/>
                <w:szCs w:val="24"/>
              </w:rPr>
              <w:t xml:space="preserve">). </w:t>
            </w:r>
          </w:p>
          <w:p w14:paraId="4F131C86" w14:textId="77777777" w:rsidR="00B577A5" w:rsidRPr="002A3DDB" w:rsidRDefault="00B577A5" w:rsidP="00B577A5">
            <w:pPr>
              <w:rPr>
                <w:rFonts w:ascii="Times New Roman" w:hAnsi="Times New Roman" w:cs="Times New Roman"/>
                <w:sz w:val="24"/>
                <w:szCs w:val="24"/>
              </w:rPr>
            </w:pPr>
          </w:p>
          <w:p w14:paraId="5037A9C3" w14:textId="5C560055" w:rsidR="00BB67DB" w:rsidRPr="002A3DDB" w:rsidRDefault="00BB67DB" w:rsidP="00B577A5">
            <w:pPr>
              <w:rPr>
                <w:rFonts w:ascii="Times New Roman" w:hAnsi="Times New Roman" w:cs="Times New Roman"/>
                <w:sz w:val="24"/>
                <w:szCs w:val="24"/>
              </w:rPr>
            </w:pPr>
            <w:r w:rsidRPr="002A3DDB">
              <w:rPr>
                <w:rFonts w:ascii="Times New Roman" w:hAnsi="Times New Roman" w:cs="Times New Roman"/>
                <w:sz w:val="24"/>
                <w:szCs w:val="24"/>
              </w:rPr>
              <w:t>Each of the unit assessment transitions demonstrates the use of multiple decision points and the use of multiple indicators to assess candidates’ mastery of content knowledge, skills, and professional dispositions.</w:t>
            </w:r>
          </w:p>
          <w:p w14:paraId="079B26AB" w14:textId="77777777" w:rsidR="00BB67DB" w:rsidRPr="002A3DDB" w:rsidRDefault="00BB67DB" w:rsidP="00B577A5">
            <w:pPr>
              <w:rPr>
                <w:rFonts w:ascii="Times New Roman" w:hAnsi="Times New Roman" w:cs="Times New Roman"/>
                <w:sz w:val="24"/>
                <w:szCs w:val="24"/>
              </w:rPr>
            </w:pPr>
          </w:p>
          <w:p w14:paraId="18B563F0" w14:textId="1B748B82" w:rsidR="00663043" w:rsidRPr="002A3DDB" w:rsidRDefault="00B577A5" w:rsidP="00B577A5">
            <w:pPr>
              <w:rPr>
                <w:rFonts w:ascii="Times New Roman" w:hAnsi="Times New Roman" w:cs="Times New Roman"/>
                <w:sz w:val="24"/>
                <w:szCs w:val="24"/>
              </w:rPr>
            </w:pPr>
            <w:r w:rsidRPr="002A3DDB">
              <w:rPr>
                <w:rFonts w:ascii="Times New Roman" w:hAnsi="Times New Roman" w:cs="Times New Roman"/>
                <w:sz w:val="24"/>
                <w:szCs w:val="24"/>
              </w:rPr>
              <w:t>The EPP will soon evaluate alumni impact on P-12 student learning and development via addition</w:t>
            </w:r>
            <w:r w:rsidR="00A027D1" w:rsidRPr="002A3DDB">
              <w:rPr>
                <w:rFonts w:ascii="Times New Roman" w:hAnsi="Times New Roman" w:cs="Times New Roman"/>
                <w:sz w:val="24"/>
                <w:szCs w:val="24"/>
              </w:rPr>
              <w:t>al</w:t>
            </w:r>
            <w:r w:rsidRPr="002A3DDB">
              <w:rPr>
                <w:rFonts w:ascii="Times New Roman" w:hAnsi="Times New Roman" w:cs="Times New Roman"/>
                <w:sz w:val="24"/>
                <w:szCs w:val="24"/>
              </w:rPr>
              <w:t xml:space="preserve"> methods and measures</w:t>
            </w:r>
            <w:r w:rsidR="00BB67DB" w:rsidRPr="002A3DDB">
              <w:rPr>
                <w:rFonts w:ascii="Times New Roman" w:hAnsi="Times New Roman" w:cs="Times New Roman"/>
                <w:sz w:val="24"/>
                <w:szCs w:val="24"/>
              </w:rPr>
              <w:t>,</w:t>
            </w:r>
            <w:r w:rsidRPr="002A3DDB">
              <w:rPr>
                <w:rFonts w:ascii="Times New Roman" w:hAnsi="Times New Roman" w:cs="Times New Roman"/>
                <w:sz w:val="24"/>
                <w:szCs w:val="24"/>
              </w:rPr>
              <w:t xml:space="preserve"> to be determined in concert with school professionals. In fact, the conversation of how to do so has already begun during the Dean’s annual meetings with area Superintendents (See </w:t>
            </w:r>
            <w:r w:rsidR="00332B57" w:rsidRPr="002A3DDB">
              <w:rPr>
                <w:rFonts w:ascii="Times New Roman" w:hAnsi="Times New Roman" w:cs="Times New Roman"/>
                <w:sz w:val="24"/>
                <w:szCs w:val="24"/>
              </w:rPr>
              <w:t xml:space="preserve">2015 minutes in </w:t>
            </w:r>
            <w:r w:rsidR="0027350A">
              <w:rPr>
                <w:rFonts w:ascii="Times New Roman" w:hAnsi="Times New Roman" w:cs="Times New Roman"/>
                <w:sz w:val="24"/>
                <w:szCs w:val="24"/>
              </w:rPr>
              <w:t>Appendix F9</w:t>
            </w:r>
            <w:r w:rsidR="00332B57" w:rsidRPr="002A3DDB">
              <w:rPr>
                <w:rFonts w:ascii="Times New Roman" w:hAnsi="Times New Roman" w:cs="Times New Roman"/>
                <w:sz w:val="24"/>
                <w:szCs w:val="24"/>
              </w:rPr>
              <w:t>; minutes of the</w:t>
            </w:r>
            <w:r w:rsidRPr="002A3DDB">
              <w:rPr>
                <w:rFonts w:ascii="Times New Roman" w:hAnsi="Times New Roman" w:cs="Times New Roman"/>
                <w:sz w:val="24"/>
                <w:szCs w:val="24"/>
              </w:rPr>
              <w:t xml:space="preserve"> </w:t>
            </w:r>
            <w:r w:rsidR="00332B57" w:rsidRPr="002A3DDB">
              <w:rPr>
                <w:rFonts w:ascii="Times New Roman" w:hAnsi="Times New Roman" w:cs="Times New Roman"/>
                <w:sz w:val="24"/>
                <w:szCs w:val="24"/>
              </w:rPr>
              <w:t>2016</w:t>
            </w:r>
            <w:r w:rsidRPr="002A3DDB">
              <w:rPr>
                <w:rFonts w:ascii="Times New Roman" w:hAnsi="Times New Roman" w:cs="Times New Roman"/>
                <w:sz w:val="24"/>
                <w:szCs w:val="24"/>
              </w:rPr>
              <w:t xml:space="preserve"> Superintendent</w:t>
            </w:r>
            <w:r w:rsidR="00332B57" w:rsidRPr="002A3DDB">
              <w:rPr>
                <w:rFonts w:ascii="Times New Roman" w:hAnsi="Times New Roman" w:cs="Times New Roman"/>
                <w:sz w:val="24"/>
                <w:szCs w:val="24"/>
              </w:rPr>
              <w:t>s</w:t>
            </w:r>
            <w:r w:rsidRPr="002A3DDB">
              <w:rPr>
                <w:rFonts w:ascii="Times New Roman" w:hAnsi="Times New Roman" w:cs="Times New Roman"/>
                <w:sz w:val="24"/>
                <w:szCs w:val="24"/>
              </w:rPr>
              <w:t xml:space="preserve"> </w:t>
            </w:r>
            <w:r w:rsidR="00332B57" w:rsidRPr="002A3DDB">
              <w:rPr>
                <w:rFonts w:ascii="Times New Roman" w:hAnsi="Times New Roman" w:cs="Times New Roman"/>
                <w:sz w:val="24"/>
                <w:szCs w:val="24"/>
              </w:rPr>
              <w:t>meetings</w:t>
            </w:r>
            <w:r w:rsidRPr="002A3DDB">
              <w:rPr>
                <w:rFonts w:ascii="Times New Roman" w:hAnsi="Times New Roman" w:cs="Times New Roman"/>
                <w:sz w:val="24"/>
                <w:szCs w:val="24"/>
              </w:rPr>
              <w:t xml:space="preserve"> </w:t>
            </w:r>
            <w:r w:rsidR="00332B57" w:rsidRPr="002A3DDB">
              <w:rPr>
                <w:rFonts w:ascii="Times New Roman" w:hAnsi="Times New Roman" w:cs="Times New Roman"/>
                <w:sz w:val="24"/>
                <w:szCs w:val="24"/>
              </w:rPr>
              <w:t>will be provided</w:t>
            </w:r>
            <w:r w:rsidRPr="002A3DDB">
              <w:rPr>
                <w:rFonts w:ascii="Times New Roman" w:hAnsi="Times New Roman" w:cs="Times New Roman"/>
                <w:sz w:val="24"/>
                <w:szCs w:val="24"/>
              </w:rPr>
              <w:t xml:space="preserve"> during visit)</w:t>
            </w:r>
            <w:r w:rsidR="004501F0" w:rsidRPr="002A3DDB">
              <w:rPr>
                <w:rFonts w:ascii="Times New Roman" w:hAnsi="Times New Roman" w:cs="Times New Roman"/>
                <w:sz w:val="24"/>
                <w:szCs w:val="24"/>
              </w:rPr>
              <w:t>. This is yet another example of community involvement in the EPP’s assessment system.</w:t>
            </w:r>
          </w:p>
          <w:p w14:paraId="7F79D80C" w14:textId="77777777" w:rsidR="004501F0" w:rsidRPr="002A3DDB" w:rsidRDefault="004501F0" w:rsidP="00B577A5">
            <w:pPr>
              <w:rPr>
                <w:rFonts w:ascii="Times New Roman" w:hAnsi="Times New Roman" w:cs="Times New Roman"/>
                <w:sz w:val="24"/>
                <w:szCs w:val="24"/>
              </w:rPr>
            </w:pPr>
          </w:p>
          <w:p w14:paraId="546E9FC0" w14:textId="1F404B70" w:rsidR="004501F0" w:rsidRPr="002A3DDB" w:rsidRDefault="004501F0" w:rsidP="00B577A5">
            <w:pPr>
              <w:rPr>
                <w:rFonts w:ascii="Times New Roman" w:hAnsi="Times New Roman" w:cs="Times New Roman"/>
                <w:sz w:val="24"/>
                <w:szCs w:val="24"/>
              </w:rPr>
            </w:pPr>
            <w:r w:rsidRPr="002A3DDB">
              <w:rPr>
                <w:rFonts w:ascii="Times New Roman" w:hAnsi="Times New Roman" w:cs="Times New Roman"/>
                <w:sz w:val="24"/>
                <w:szCs w:val="24"/>
              </w:rPr>
              <w:t>The EPP has revised its data collection plan to accommodate the expanded UAS</w:t>
            </w:r>
            <w:r w:rsidR="007E62A6" w:rsidRPr="002A3DDB">
              <w:rPr>
                <w:rFonts w:ascii="Times New Roman" w:hAnsi="Times New Roman" w:cs="Times New Roman"/>
                <w:sz w:val="24"/>
                <w:szCs w:val="24"/>
              </w:rPr>
              <w:t>, which now includes</w:t>
            </w:r>
            <w:r w:rsidRPr="002A3DDB">
              <w:rPr>
                <w:rFonts w:ascii="Times New Roman" w:hAnsi="Times New Roman" w:cs="Times New Roman"/>
                <w:sz w:val="24"/>
                <w:szCs w:val="24"/>
              </w:rPr>
              <w:t xml:space="preserve"> multiple data points during each of the developmentall</w:t>
            </w:r>
            <w:r w:rsidR="007E62A6" w:rsidRPr="002A3DDB">
              <w:rPr>
                <w:rFonts w:ascii="Times New Roman" w:hAnsi="Times New Roman" w:cs="Times New Roman"/>
                <w:sz w:val="24"/>
                <w:szCs w:val="24"/>
              </w:rPr>
              <w:t>y designed clinical placements. The plan (See Unit Assessment Data Collection Plan</w:t>
            </w:r>
            <w:r w:rsidR="00332B57" w:rsidRPr="002A3DDB">
              <w:rPr>
                <w:rFonts w:ascii="Times New Roman" w:hAnsi="Times New Roman" w:cs="Times New Roman"/>
                <w:sz w:val="24"/>
                <w:szCs w:val="24"/>
              </w:rPr>
              <w:t xml:space="preserve"> previously submitted</w:t>
            </w:r>
            <w:r w:rsidR="007E62A6" w:rsidRPr="002A3DDB">
              <w:rPr>
                <w:rFonts w:ascii="Times New Roman" w:hAnsi="Times New Roman" w:cs="Times New Roman"/>
                <w:sz w:val="24"/>
                <w:szCs w:val="24"/>
              </w:rPr>
              <w:t>) outlines the schema for data responsibility</w:t>
            </w:r>
            <w:r w:rsidR="00503817" w:rsidRPr="002A3DDB">
              <w:rPr>
                <w:rFonts w:ascii="Times New Roman" w:hAnsi="Times New Roman" w:cs="Times New Roman"/>
                <w:sz w:val="24"/>
                <w:szCs w:val="24"/>
              </w:rPr>
              <w:t xml:space="preserve"> for the systematic gathering, summarizing and evaluating of  </w:t>
            </w:r>
            <w:r w:rsidR="007E62A6" w:rsidRPr="002A3DDB">
              <w:rPr>
                <w:rFonts w:ascii="Times New Roman" w:hAnsi="Times New Roman" w:cs="Times New Roman"/>
                <w:sz w:val="24"/>
                <w:szCs w:val="24"/>
              </w:rPr>
              <w:t xml:space="preserve">fully developed assessments. For newly designed assessment instruments in prototype form for pilot, the adhoc assessment committee is charged with the task of instrument development (see </w:t>
            </w:r>
            <w:r w:rsidR="0027350A">
              <w:rPr>
                <w:rFonts w:ascii="Times New Roman" w:hAnsi="Times New Roman" w:cs="Times New Roman"/>
                <w:sz w:val="24"/>
                <w:szCs w:val="24"/>
              </w:rPr>
              <w:t xml:space="preserve">Appendix F5 for </w:t>
            </w:r>
            <w:r w:rsidR="007E62A6" w:rsidRPr="002A3DDB">
              <w:rPr>
                <w:rFonts w:ascii="Times New Roman" w:hAnsi="Times New Roman" w:cs="Times New Roman"/>
                <w:sz w:val="24"/>
                <w:szCs w:val="24"/>
              </w:rPr>
              <w:t xml:space="preserve">adhoc assessment committee </w:t>
            </w:r>
            <w:r w:rsidR="00332B57" w:rsidRPr="002A3DDB">
              <w:rPr>
                <w:rFonts w:ascii="Times New Roman" w:hAnsi="Times New Roman" w:cs="Times New Roman"/>
                <w:sz w:val="24"/>
                <w:szCs w:val="24"/>
              </w:rPr>
              <w:t>minutes</w:t>
            </w:r>
            <w:r w:rsidR="005D0DFC" w:rsidRPr="002A3DDB">
              <w:rPr>
                <w:rFonts w:ascii="Times New Roman" w:hAnsi="Times New Roman" w:cs="Times New Roman"/>
                <w:sz w:val="24"/>
                <w:szCs w:val="24"/>
              </w:rPr>
              <w:t>). This committee</w:t>
            </w:r>
            <w:r w:rsidR="007E62A6" w:rsidRPr="002A3DDB">
              <w:rPr>
                <w:rFonts w:ascii="Times New Roman" w:hAnsi="Times New Roman" w:cs="Times New Roman"/>
                <w:sz w:val="24"/>
                <w:szCs w:val="24"/>
              </w:rPr>
              <w:t xml:space="preserve"> uses </w:t>
            </w:r>
            <w:r w:rsidR="00F57D17" w:rsidRPr="002A3DDB">
              <w:rPr>
                <w:rFonts w:ascii="Times New Roman" w:hAnsi="Times New Roman" w:cs="Times New Roman"/>
                <w:sz w:val="24"/>
                <w:szCs w:val="24"/>
              </w:rPr>
              <w:t>existing EPP data and ever</w:t>
            </w:r>
            <w:r w:rsidR="00A027D1" w:rsidRPr="002A3DDB">
              <w:rPr>
                <w:rFonts w:ascii="Times New Roman" w:hAnsi="Times New Roman" w:cs="Times New Roman"/>
                <w:sz w:val="24"/>
                <w:szCs w:val="24"/>
              </w:rPr>
              <w:t>-changing professional demands to develop new assessments</w:t>
            </w:r>
            <w:r w:rsidR="00F57D17" w:rsidRPr="002A3DDB">
              <w:rPr>
                <w:rFonts w:ascii="Times New Roman" w:hAnsi="Times New Roman" w:cs="Times New Roman"/>
                <w:sz w:val="24"/>
                <w:szCs w:val="24"/>
              </w:rPr>
              <w:t>. For example</w:t>
            </w:r>
            <w:r w:rsidR="00332B57" w:rsidRPr="002A3DDB">
              <w:rPr>
                <w:rFonts w:ascii="Times New Roman" w:hAnsi="Times New Roman" w:cs="Times New Roman"/>
                <w:sz w:val="24"/>
                <w:szCs w:val="24"/>
              </w:rPr>
              <w:t>, the CORE II</w:t>
            </w:r>
            <w:r w:rsidR="005D0DFC" w:rsidRPr="002A3DDB">
              <w:rPr>
                <w:rFonts w:ascii="Times New Roman" w:hAnsi="Times New Roman" w:cs="Times New Roman"/>
                <w:sz w:val="24"/>
                <w:szCs w:val="24"/>
              </w:rPr>
              <w:t xml:space="preserve"> portfolio SRBI assignment is developed in response to prior student teaching data and Unit retreat discussions among faculty (see retreat minutes </w:t>
            </w:r>
            <w:r w:rsidR="0083768E">
              <w:rPr>
                <w:rFonts w:ascii="Times New Roman" w:hAnsi="Times New Roman" w:cs="Times New Roman"/>
                <w:sz w:val="24"/>
                <w:szCs w:val="24"/>
              </w:rPr>
              <w:t xml:space="preserve">for </w:t>
            </w:r>
            <w:r w:rsidR="005D0DFC" w:rsidRPr="002A3DDB">
              <w:rPr>
                <w:rFonts w:ascii="Times New Roman" w:hAnsi="Times New Roman" w:cs="Times New Roman"/>
                <w:sz w:val="24"/>
                <w:szCs w:val="24"/>
              </w:rPr>
              <w:t>May 2016 and August 2016</w:t>
            </w:r>
            <w:r w:rsidR="0083768E">
              <w:rPr>
                <w:rFonts w:ascii="Times New Roman" w:hAnsi="Times New Roman" w:cs="Times New Roman"/>
                <w:sz w:val="24"/>
                <w:szCs w:val="24"/>
              </w:rPr>
              <w:t xml:space="preserve"> in Appendices F1 and F2</w:t>
            </w:r>
            <w:r w:rsidR="005D0DFC" w:rsidRPr="002A3DDB">
              <w:rPr>
                <w:rFonts w:ascii="Times New Roman" w:hAnsi="Times New Roman" w:cs="Times New Roman"/>
                <w:sz w:val="24"/>
                <w:szCs w:val="24"/>
              </w:rPr>
              <w:t xml:space="preserve">). The faculty determined that candidates continue to struggle with differentiation of instruction and data use, thereby informing the tenets of the portfolio assignment. </w:t>
            </w:r>
          </w:p>
          <w:p w14:paraId="347CCF1C" w14:textId="77777777" w:rsidR="000A4446" w:rsidRPr="002A3DDB" w:rsidRDefault="000A4446" w:rsidP="00B577A5">
            <w:pPr>
              <w:rPr>
                <w:rFonts w:ascii="Times New Roman" w:hAnsi="Times New Roman" w:cs="Times New Roman"/>
                <w:sz w:val="24"/>
                <w:szCs w:val="24"/>
              </w:rPr>
            </w:pPr>
          </w:p>
          <w:p w14:paraId="33223D37" w14:textId="43932ADE" w:rsidR="000A4446" w:rsidRPr="002A3DDB" w:rsidRDefault="000A4446" w:rsidP="00B577A5">
            <w:pPr>
              <w:rPr>
                <w:rFonts w:ascii="Times New Roman" w:hAnsi="Times New Roman" w:cs="Times New Roman"/>
                <w:sz w:val="24"/>
                <w:szCs w:val="24"/>
              </w:rPr>
            </w:pPr>
            <w:r w:rsidRPr="002A3DDB">
              <w:rPr>
                <w:rFonts w:ascii="Times New Roman" w:hAnsi="Times New Roman" w:cs="Times New Roman"/>
                <w:b/>
                <w:i/>
                <w:sz w:val="24"/>
                <w:szCs w:val="24"/>
              </w:rPr>
              <w:t>Other evidence requested by the BOE Team for validation will be provided during the onsite visit.</w:t>
            </w:r>
          </w:p>
          <w:p w14:paraId="3C4C496A" w14:textId="77777777" w:rsidR="007E62A6" w:rsidRPr="002A3DDB" w:rsidRDefault="007E62A6" w:rsidP="00B577A5">
            <w:pPr>
              <w:rPr>
                <w:rFonts w:ascii="Times New Roman" w:hAnsi="Times New Roman" w:cs="Times New Roman"/>
                <w:sz w:val="24"/>
                <w:szCs w:val="24"/>
              </w:rPr>
            </w:pPr>
          </w:p>
          <w:p w14:paraId="6B46461F" w14:textId="315EB0E7" w:rsidR="004501F0" w:rsidRPr="002A3DDB" w:rsidRDefault="004501F0" w:rsidP="00B577A5">
            <w:pPr>
              <w:rPr>
                <w:rFonts w:ascii="Times New Roman" w:hAnsi="Times New Roman" w:cs="Times New Roman"/>
                <w:sz w:val="24"/>
                <w:szCs w:val="24"/>
              </w:rPr>
            </w:pPr>
          </w:p>
        </w:tc>
      </w:tr>
      <w:tr w:rsidR="00663043" w:rsidRPr="002A3DDB" w14:paraId="5D0E7EF1" w14:textId="77777777" w:rsidTr="0071625F">
        <w:trPr>
          <w:trHeight w:val="4850"/>
        </w:trPr>
        <w:tc>
          <w:tcPr>
            <w:tcW w:w="1717" w:type="dxa"/>
          </w:tcPr>
          <w:p w14:paraId="64289641" w14:textId="12FCA93F" w:rsidR="00703D19" w:rsidRPr="002A3DDB" w:rsidRDefault="00703D19" w:rsidP="0013345B">
            <w:pPr>
              <w:jc w:val="center"/>
              <w:rPr>
                <w:rFonts w:ascii="Times New Roman" w:hAnsi="Times New Roman" w:cs="Times New Roman"/>
                <w:b/>
                <w:sz w:val="24"/>
                <w:szCs w:val="24"/>
              </w:rPr>
            </w:pPr>
          </w:p>
          <w:p w14:paraId="0419172F" w14:textId="77777777" w:rsidR="00703D19" w:rsidRPr="002A3DDB" w:rsidRDefault="00703D19" w:rsidP="0013345B">
            <w:pPr>
              <w:jc w:val="center"/>
              <w:rPr>
                <w:rFonts w:ascii="Times New Roman" w:hAnsi="Times New Roman" w:cs="Times New Roman"/>
                <w:b/>
                <w:sz w:val="24"/>
                <w:szCs w:val="24"/>
              </w:rPr>
            </w:pPr>
          </w:p>
          <w:p w14:paraId="3F8471D1" w14:textId="77777777" w:rsidR="00663043" w:rsidRPr="002A3DDB" w:rsidRDefault="0067217B" w:rsidP="0013345B">
            <w:pPr>
              <w:jc w:val="center"/>
              <w:rPr>
                <w:rFonts w:ascii="Times New Roman" w:hAnsi="Times New Roman" w:cs="Times New Roman"/>
                <w:b/>
                <w:sz w:val="24"/>
                <w:szCs w:val="24"/>
              </w:rPr>
            </w:pPr>
            <w:r w:rsidRPr="002A3DDB">
              <w:rPr>
                <w:rFonts w:ascii="Times New Roman" w:hAnsi="Times New Roman" w:cs="Times New Roman"/>
                <w:b/>
                <w:sz w:val="24"/>
                <w:szCs w:val="24"/>
              </w:rPr>
              <w:t xml:space="preserve">Standard </w:t>
            </w:r>
            <w:r w:rsidR="0013345B" w:rsidRPr="002A3DDB">
              <w:rPr>
                <w:rFonts w:ascii="Times New Roman" w:hAnsi="Times New Roman" w:cs="Times New Roman"/>
                <w:b/>
                <w:sz w:val="24"/>
                <w:szCs w:val="24"/>
              </w:rPr>
              <w:t>3</w:t>
            </w:r>
          </w:p>
          <w:p w14:paraId="570F24E8" w14:textId="77777777" w:rsidR="0067217B" w:rsidRPr="002A3DDB" w:rsidRDefault="0067217B" w:rsidP="0013345B">
            <w:pPr>
              <w:jc w:val="center"/>
              <w:rPr>
                <w:rFonts w:ascii="Times New Roman" w:hAnsi="Times New Roman" w:cs="Times New Roman"/>
                <w:b/>
                <w:sz w:val="24"/>
                <w:szCs w:val="24"/>
              </w:rPr>
            </w:pPr>
          </w:p>
          <w:p w14:paraId="519B08D7" w14:textId="7B07CB25" w:rsidR="0067217B" w:rsidRPr="002A3DDB" w:rsidRDefault="0067217B" w:rsidP="0013345B">
            <w:pPr>
              <w:jc w:val="center"/>
              <w:rPr>
                <w:rFonts w:ascii="Times New Roman" w:hAnsi="Times New Roman" w:cs="Times New Roman"/>
                <w:b/>
                <w:sz w:val="24"/>
                <w:szCs w:val="24"/>
              </w:rPr>
            </w:pPr>
            <w:r w:rsidRPr="002A3DDB">
              <w:rPr>
                <w:rFonts w:ascii="Times New Roman" w:hAnsi="Times New Roman" w:cs="Times New Roman"/>
                <w:b/>
                <w:sz w:val="24"/>
                <w:szCs w:val="24"/>
              </w:rPr>
              <w:t>Field Experiences and Clinical Practice</w:t>
            </w:r>
          </w:p>
        </w:tc>
        <w:tc>
          <w:tcPr>
            <w:tcW w:w="2110" w:type="dxa"/>
          </w:tcPr>
          <w:p w14:paraId="7190B73C" w14:textId="77777777" w:rsidR="00663043" w:rsidRPr="002A3DDB" w:rsidRDefault="00663043" w:rsidP="004B404E">
            <w:pPr>
              <w:autoSpaceDE w:val="0"/>
              <w:autoSpaceDN w:val="0"/>
              <w:adjustRightInd w:val="0"/>
              <w:rPr>
                <w:rFonts w:ascii="Times New Roman" w:hAnsi="Times New Roman" w:cs="Times New Roman"/>
                <w:sz w:val="24"/>
                <w:szCs w:val="24"/>
              </w:rPr>
            </w:pPr>
          </w:p>
          <w:p w14:paraId="1D261299" w14:textId="750935BC" w:rsidR="0067217B" w:rsidRPr="002A3DDB" w:rsidRDefault="0067217B" w:rsidP="004B404E">
            <w:pPr>
              <w:autoSpaceDE w:val="0"/>
              <w:autoSpaceDN w:val="0"/>
              <w:adjustRightInd w:val="0"/>
              <w:rPr>
                <w:rFonts w:ascii="Times New Roman" w:hAnsi="Times New Roman" w:cs="Times New Roman"/>
                <w:sz w:val="24"/>
                <w:szCs w:val="24"/>
              </w:rPr>
            </w:pPr>
            <w:r w:rsidRPr="002A3DDB">
              <w:rPr>
                <w:rFonts w:ascii="Times New Roman" w:hAnsi="Times New Roman" w:cs="Times New Roman"/>
                <w:sz w:val="24"/>
                <w:szCs w:val="24"/>
              </w:rPr>
              <w:t>This standard was found to be Unmet in the 2014 review.</w:t>
            </w:r>
          </w:p>
        </w:tc>
        <w:tc>
          <w:tcPr>
            <w:tcW w:w="2318" w:type="dxa"/>
          </w:tcPr>
          <w:p w14:paraId="58A42B0E" w14:textId="77777777" w:rsidR="00663043" w:rsidRPr="002A3DDB" w:rsidRDefault="00663043" w:rsidP="00123962">
            <w:pPr>
              <w:rPr>
                <w:rFonts w:ascii="Times New Roman" w:hAnsi="Times New Roman" w:cs="Times New Roman"/>
                <w:sz w:val="24"/>
                <w:szCs w:val="24"/>
              </w:rPr>
            </w:pPr>
          </w:p>
          <w:p w14:paraId="2D14B01F" w14:textId="77777777" w:rsidR="00703D19" w:rsidRPr="002A3DDB" w:rsidRDefault="00703D19" w:rsidP="00703D19">
            <w:pPr>
              <w:autoSpaceDE w:val="0"/>
              <w:autoSpaceDN w:val="0"/>
              <w:adjustRightInd w:val="0"/>
              <w:rPr>
                <w:rFonts w:ascii="Times New Roman" w:hAnsi="Times New Roman" w:cs="Times New Roman"/>
                <w:sz w:val="24"/>
                <w:szCs w:val="24"/>
              </w:rPr>
            </w:pPr>
            <w:r w:rsidRPr="002A3DDB">
              <w:rPr>
                <w:rFonts w:ascii="Times New Roman" w:hAnsi="Times New Roman" w:cs="Times New Roman"/>
                <w:sz w:val="24"/>
                <w:szCs w:val="24"/>
              </w:rPr>
              <w:t xml:space="preserve">1. The unit does not ensure that all initial and advanced candidates have experience working with students from diverse ethnic/racial backgrounds, and students with exceptionalities, and students from different socioeconomic groups, and English language learners. (ITP, ADV) </w:t>
            </w:r>
          </w:p>
          <w:p w14:paraId="0DB56EA8" w14:textId="77777777" w:rsidR="00703D19" w:rsidRPr="002A3DDB" w:rsidRDefault="00703D19" w:rsidP="00123962">
            <w:pPr>
              <w:rPr>
                <w:rFonts w:ascii="Times New Roman" w:hAnsi="Times New Roman" w:cs="Times New Roman"/>
                <w:sz w:val="24"/>
                <w:szCs w:val="24"/>
              </w:rPr>
            </w:pPr>
          </w:p>
        </w:tc>
        <w:tc>
          <w:tcPr>
            <w:tcW w:w="7805" w:type="dxa"/>
            <w:tcBorders>
              <w:top w:val="single" w:sz="4" w:space="0" w:color="auto"/>
            </w:tcBorders>
          </w:tcPr>
          <w:p w14:paraId="5509AB00" w14:textId="1799C417" w:rsidR="00663043" w:rsidRPr="002A3DDB" w:rsidRDefault="00503817" w:rsidP="00EF54B7">
            <w:pPr>
              <w:rPr>
                <w:rFonts w:ascii="Times New Roman" w:hAnsi="Times New Roman" w:cs="Times New Roman"/>
                <w:sz w:val="24"/>
                <w:szCs w:val="24"/>
              </w:rPr>
            </w:pPr>
            <w:r w:rsidRPr="002A3DDB">
              <w:rPr>
                <w:rFonts w:ascii="Times New Roman" w:hAnsi="Times New Roman" w:cs="Times New Roman"/>
                <w:sz w:val="24"/>
                <w:szCs w:val="24"/>
              </w:rPr>
              <w:t>All initial candidates at the u</w:t>
            </w:r>
            <w:r w:rsidR="00A027D1" w:rsidRPr="002A3DDB">
              <w:rPr>
                <w:rFonts w:ascii="Times New Roman" w:hAnsi="Times New Roman" w:cs="Times New Roman"/>
                <w:sz w:val="24"/>
                <w:szCs w:val="24"/>
              </w:rPr>
              <w:t>ndergraduate and graduate level</w:t>
            </w:r>
            <w:r w:rsidRPr="002A3DDB">
              <w:rPr>
                <w:rFonts w:ascii="Times New Roman" w:hAnsi="Times New Roman" w:cs="Times New Roman"/>
                <w:sz w:val="24"/>
                <w:szCs w:val="24"/>
              </w:rPr>
              <w:t xml:space="preserve"> experience a diversity of clinical placements according </w:t>
            </w:r>
            <w:r w:rsidR="00A54D42" w:rsidRPr="002A3DDB">
              <w:rPr>
                <w:rFonts w:ascii="Times New Roman" w:hAnsi="Times New Roman" w:cs="Times New Roman"/>
                <w:sz w:val="24"/>
                <w:szCs w:val="24"/>
              </w:rPr>
              <w:t xml:space="preserve">factors of community indicators (e.g., suburban, rural, and urban) and socio-economic status (e.g., Title II). </w:t>
            </w:r>
            <w:r w:rsidR="000C30D0">
              <w:rPr>
                <w:rFonts w:ascii="Times New Roman" w:hAnsi="Times New Roman" w:cs="Times New Roman"/>
                <w:sz w:val="24"/>
                <w:szCs w:val="24"/>
              </w:rPr>
              <w:t xml:space="preserve"> Please refer to Appendices G2 and G3 for descriptors of Connecticut’s district demographics.  </w:t>
            </w:r>
            <w:r w:rsidR="00A54D42" w:rsidRPr="002A3DDB">
              <w:rPr>
                <w:rFonts w:ascii="Times New Roman" w:hAnsi="Times New Roman" w:cs="Times New Roman"/>
                <w:sz w:val="24"/>
                <w:szCs w:val="24"/>
              </w:rPr>
              <w:t>In</w:t>
            </w:r>
            <w:r w:rsidR="00EF54B7" w:rsidRPr="002A3DDB">
              <w:rPr>
                <w:rFonts w:ascii="Times New Roman" w:hAnsi="Times New Roman" w:cs="Times New Roman"/>
                <w:sz w:val="24"/>
                <w:szCs w:val="24"/>
              </w:rPr>
              <w:t xml:space="preserve"> addition, P-12 student factors</w:t>
            </w:r>
            <w:r w:rsidR="00A54D42" w:rsidRPr="002A3DDB">
              <w:rPr>
                <w:rFonts w:ascii="Times New Roman" w:hAnsi="Times New Roman" w:cs="Times New Roman"/>
                <w:sz w:val="24"/>
                <w:szCs w:val="24"/>
              </w:rPr>
              <w:t xml:space="preserve"> of ethnic/racial backgrounds,</w:t>
            </w:r>
            <w:r w:rsidR="00EF54B7" w:rsidRPr="002A3DDB">
              <w:rPr>
                <w:rFonts w:ascii="Times New Roman" w:hAnsi="Times New Roman" w:cs="Times New Roman"/>
                <w:sz w:val="24"/>
                <w:szCs w:val="24"/>
              </w:rPr>
              <w:t xml:space="preserve"> gender,</w:t>
            </w:r>
            <w:r w:rsidR="00A54D42" w:rsidRPr="002A3DDB">
              <w:rPr>
                <w:rFonts w:ascii="Times New Roman" w:hAnsi="Times New Roman" w:cs="Times New Roman"/>
                <w:sz w:val="24"/>
                <w:szCs w:val="24"/>
              </w:rPr>
              <w:t xml:space="preserve"> ability diversity, and home lang</w:t>
            </w:r>
            <w:r w:rsidR="00EA7118" w:rsidRPr="002A3DDB">
              <w:rPr>
                <w:rFonts w:ascii="Times New Roman" w:hAnsi="Times New Roman" w:cs="Times New Roman"/>
                <w:sz w:val="24"/>
                <w:szCs w:val="24"/>
              </w:rPr>
              <w:t>uage diversity are considered. At t</w:t>
            </w:r>
            <w:r w:rsidR="00A54D42" w:rsidRPr="002A3DDB">
              <w:rPr>
                <w:rFonts w:ascii="Times New Roman" w:hAnsi="Times New Roman" w:cs="Times New Roman"/>
                <w:sz w:val="24"/>
                <w:szCs w:val="24"/>
              </w:rPr>
              <w:t xml:space="preserve">he EPP, the intersectionality of these factors </w:t>
            </w:r>
            <w:r w:rsidR="00EA7118" w:rsidRPr="002A3DDB">
              <w:rPr>
                <w:rFonts w:ascii="Times New Roman" w:hAnsi="Times New Roman" w:cs="Times New Roman"/>
                <w:sz w:val="24"/>
                <w:szCs w:val="24"/>
              </w:rPr>
              <w:t xml:space="preserve">is strong. For example, one of </w:t>
            </w:r>
            <w:r w:rsidR="00A54D42" w:rsidRPr="002A3DDB">
              <w:rPr>
                <w:rFonts w:ascii="Times New Roman" w:hAnsi="Times New Roman" w:cs="Times New Roman"/>
                <w:sz w:val="24"/>
                <w:szCs w:val="24"/>
              </w:rPr>
              <w:t>our key school districts is largely</w:t>
            </w:r>
            <w:r w:rsidR="00EF54B7" w:rsidRPr="002A3DDB">
              <w:rPr>
                <w:rFonts w:ascii="Times New Roman" w:hAnsi="Times New Roman" w:cs="Times New Roman"/>
                <w:sz w:val="24"/>
                <w:szCs w:val="24"/>
              </w:rPr>
              <w:t xml:space="preserve"> minority serving 68% Hispanic student population, with 43% from non-English speaking homes. The district is also classified as culturally rich urban.</w:t>
            </w:r>
          </w:p>
          <w:p w14:paraId="6EF2044D" w14:textId="77777777" w:rsidR="00EF54B7" w:rsidRPr="002A3DDB" w:rsidRDefault="00EF54B7" w:rsidP="00EF54B7">
            <w:pPr>
              <w:rPr>
                <w:rFonts w:ascii="Times New Roman" w:hAnsi="Times New Roman" w:cs="Times New Roman"/>
                <w:sz w:val="24"/>
                <w:szCs w:val="24"/>
              </w:rPr>
            </w:pPr>
          </w:p>
          <w:p w14:paraId="54941B75" w14:textId="5DE6F14D" w:rsidR="00EF54B7" w:rsidRDefault="00EF54B7" w:rsidP="00527242">
            <w:pPr>
              <w:rPr>
                <w:rFonts w:ascii="Times New Roman" w:hAnsi="Times New Roman" w:cs="Times New Roman"/>
                <w:sz w:val="24"/>
                <w:szCs w:val="24"/>
              </w:rPr>
            </w:pPr>
            <w:r w:rsidRPr="002A3DDB">
              <w:rPr>
                <w:rFonts w:ascii="Times New Roman" w:hAnsi="Times New Roman" w:cs="Times New Roman"/>
                <w:sz w:val="24"/>
                <w:szCs w:val="24"/>
              </w:rPr>
              <w:t>Candidates’ placements are tracked by the EPP according to these diversity indicators</w:t>
            </w:r>
            <w:r w:rsidR="000C30D0">
              <w:rPr>
                <w:rFonts w:ascii="Times New Roman" w:hAnsi="Times New Roman" w:cs="Times New Roman"/>
                <w:sz w:val="24"/>
                <w:szCs w:val="24"/>
              </w:rPr>
              <w:t xml:space="preserve">. A completed spreadsheet outlining the </w:t>
            </w:r>
            <w:r w:rsidRPr="002A3DDB">
              <w:rPr>
                <w:rFonts w:ascii="Times New Roman" w:hAnsi="Times New Roman" w:cs="Times New Roman"/>
                <w:sz w:val="24"/>
                <w:szCs w:val="24"/>
              </w:rPr>
              <w:t>diversity of clinical placement</w:t>
            </w:r>
            <w:r w:rsidR="000C30D0">
              <w:rPr>
                <w:rFonts w:ascii="Times New Roman" w:hAnsi="Times New Roman" w:cs="Times New Roman"/>
                <w:sz w:val="24"/>
                <w:szCs w:val="24"/>
              </w:rPr>
              <w:t>s</w:t>
            </w:r>
            <w:r w:rsidRPr="002A3DDB">
              <w:rPr>
                <w:rFonts w:ascii="Times New Roman" w:hAnsi="Times New Roman" w:cs="Times New Roman"/>
                <w:sz w:val="24"/>
                <w:szCs w:val="24"/>
              </w:rPr>
              <w:t xml:space="preserve"> </w:t>
            </w:r>
            <w:r w:rsidR="000C30D0">
              <w:rPr>
                <w:rFonts w:ascii="Times New Roman" w:hAnsi="Times New Roman" w:cs="Times New Roman"/>
                <w:sz w:val="24"/>
                <w:szCs w:val="24"/>
              </w:rPr>
              <w:t>will be available at the onsite visit.  Herein, in appendices G4, G5 and G6, we provide documen</w:t>
            </w:r>
            <w:r w:rsidR="00ED4336">
              <w:rPr>
                <w:rFonts w:ascii="Times New Roman" w:hAnsi="Times New Roman" w:cs="Times New Roman"/>
                <w:sz w:val="24"/>
                <w:szCs w:val="24"/>
              </w:rPr>
              <w:t>tation of current placements student teaching, pre-student teaching and practicum</w:t>
            </w:r>
            <w:r w:rsidRPr="002A3DDB">
              <w:rPr>
                <w:rFonts w:ascii="Times New Roman" w:hAnsi="Times New Roman" w:cs="Times New Roman"/>
                <w:sz w:val="24"/>
                <w:szCs w:val="24"/>
              </w:rPr>
              <w:t xml:space="preserve">. In addition to district and school level factors of diversity, candidates are required to report on the student populations for the classrooms placements and to reflect </w:t>
            </w:r>
            <w:r w:rsidR="00527242" w:rsidRPr="002A3DDB">
              <w:rPr>
                <w:rFonts w:ascii="Times New Roman" w:hAnsi="Times New Roman" w:cs="Times New Roman"/>
                <w:sz w:val="24"/>
                <w:szCs w:val="24"/>
              </w:rPr>
              <w:t xml:space="preserve">their content, pedagogical knowledge, skills, and professional dispositions development across diverse contexts (See </w:t>
            </w:r>
            <w:r w:rsidR="0067217B" w:rsidRPr="002A3DDB">
              <w:rPr>
                <w:rFonts w:ascii="Times New Roman" w:hAnsi="Times New Roman" w:cs="Times New Roman"/>
                <w:sz w:val="24"/>
                <w:szCs w:val="24"/>
              </w:rPr>
              <w:t xml:space="preserve">previously submitted </w:t>
            </w:r>
            <w:r w:rsidR="00527242" w:rsidRPr="002A3DDB">
              <w:rPr>
                <w:rFonts w:ascii="Times New Roman" w:hAnsi="Times New Roman" w:cs="Times New Roman"/>
                <w:sz w:val="24"/>
                <w:szCs w:val="24"/>
              </w:rPr>
              <w:t>Core I Portfolio Looking Backwards, Looking Forward, for example).</w:t>
            </w:r>
          </w:p>
          <w:p w14:paraId="338C28E9" w14:textId="77777777" w:rsidR="00143B9A" w:rsidRPr="002A3DDB" w:rsidRDefault="00143B9A" w:rsidP="00527242">
            <w:pPr>
              <w:rPr>
                <w:rFonts w:ascii="Times New Roman" w:hAnsi="Times New Roman" w:cs="Times New Roman"/>
                <w:sz w:val="24"/>
                <w:szCs w:val="24"/>
              </w:rPr>
            </w:pPr>
          </w:p>
          <w:p w14:paraId="230A33E9" w14:textId="0DAF3E4C" w:rsidR="00143B9A" w:rsidRPr="002A3DDB" w:rsidRDefault="00143B9A" w:rsidP="00527242">
            <w:pPr>
              <w:rPr>
                <w:rFonts w:ascii="Times New Roman" w:hAnsi="Times New Roman" w:cs="Times New Roman"/>
                <w:sz w:val="24"/>
                <w:szCs w:val="24"/>
              </w:rPr>
            </w:pPr>
            <w:r w:rsidRPr="002A3DDB">
              <w:rPr>
                <w:rFonts w:ascii="Times New Roman" w:hAnsi="Times New Roman" w:cs="Times New Roman"/>
                <w:sz w:val="24"/>
                <w:szCs w:val="24"/>
              </w:rPr>
              <w:t xml:space="preserve">The newly developed year-long, residency based internship program for master’s level students allows for the full immersion in a learning community whereby candidates are able to demonstrate professional roles </w:t>
            </w:r>
            <w:r w:rsidR="00364581" w:rsidRPr="002A3DDB">
              <w:rPr>
                <w:rFonts w:ascii="Times New Roman" w:hAnsi="Times New Roman" w:cs="Times New Roman"/>
                <w:sz w:val="24"/>
                <w:szCs w:val="24"/>
              </w:rPr>
              <w:t>they will incur in their school</w:t>
            </w:r>
            <w:r w:rsidR="006D2CE1" w:rsidRPr="002A3DDB">
              <w:rPr>
                <w:rFonts w:ascii="Times New Roman" w:hAnsi="Times New Roman" w:cs="Times New Roman"/>
                <w:sz w:val="24"/>
                <w:szCs w:val="24"/>
              </w:rPr>
              <w:t xml:space="preserve">s. For example, one of our current </w:t>
            </w:r>
            <w:r w:rsidR="00364581" w:rsidRPr="002A3DDB">
              <w:rPr>
                <w:rFonts w:ascii="Times New Roman" w:hAnsi="Times New Roman" w:cs="Times New Roman"/>
                <w:sz w:val="24"/>
                <w:szCs w:val="24"/>
              </w:rPr>
              <w:t>intern</w:t>
            </w:r>
            <w:r w:rsidR="006D2CE1" w:rsidRPr="002A3DDB">
              <w:rPr>
                <w:rFonts w:ascii="Times New Roman" w:hAnsi="Times New Roman" w:cs="Times New Roman"/>
                <w:sz w:val="24"/>
                <w:szCs w:val="24"/>
              </w:rPr>
              <w:t>s</w:t>
            </w:r>
            <w:r w:rsidR="00364581" w:rsidRPr="002A3DDB">
              <w:rPr>
                <w:rFonts w:ascii="Times New Roman" w:hAnsi="Times New Roman" w:cs="Times New Roman"/>
                <w:sz w:val="24"/>
                <w:szCs w:val="24"/>
              </w:rPr>
              <w:t xml:space="preserve"> participated in instructional rounds observations with teachers and school leaders as well as </w:t>
            </w:r>
            <w:r w:rsidR="006D2CE1" w:rsidRPr="002A3DDB">
              <w:rPr>
                <w:rFonts w:ascii="Times New Roman" w:hAnsi="Times New Roman" w:cs="Times New Roman"/>
                <w:sz w:val="24"/>
                <w:szCs w:val="24"/>
              </w:rPr>
              <w:t xml:space="preserve">participated in </w:t>
            </w:r>
            <w:r w:rsidR="00364581" w:rsidRPr="002A3DDB">
              <w:rPr>
                <w:rFonts w:ascii="Times New Roman" w:hAnsi="Times New Roman" w:cs="Times New Roman"/>
                <w:sz w:val="24"/>
                <w:szCs w:val="24"/>
              </w:rPr>
              <w:t xml:space="preserve">the discussion </w:t>
            </w:r>
            <w:r w:rsidR="0067217B" w:rsidRPr="002A3DDB">
              <w:rPr>
                <w:rFonts w:ascii="Times New Roman" w:hAnsi="Times New Roman" w:cs="Times New Roman"/>
                <w:sz w:val="24"/>
                <w:szCs w:val="24"/>
              </w:rPr>
              <w:t xml:space="preserve">that followed </w:t>
            </w:r>
            <w:r w:rsidR="00364581" w:rsidRPr="002A3DDB">
              <w:rPr>
                <w:rFonts w:ascii="Times New Roman" w:hAnsi="Times New Roman" w:cs="Times New Roman"/>
                <w:sz w:val="24"/>
                <w:szCs w:val="24"/>
              </w:rPr>
              <w:t>(see</w:t>
            </w:r>
            <w:r w:rsidR="0067217B" w:rsidRPr="002A3DDB">
              <w:rPr>
                <w:rFonts w:ascii="Times New Roman" w:hAnsi="Times New Roman" w:cs="Times New Roman"/>
                <w:sz w:val="24"/>
                <w:szCs w:val="24"/>
              </w:rPr>
              <w:t xml:space="preserve"> </w:t>
            </w:r>
            <w:r w:rsidR="00C31ED0">
              <w:rPr>
                <w:rFonts w:ascii="Times New Roman" w:hAnsi="Times New Roman" w:cs="Times New Roman"/>
                <w:sz w:val="24"/>
                <w:szCs w:val="24"/>
              </w:rPr>
              <w:t>Appendix J5</w:t>
            </w:r>
            <w:r w:rsidR="0067217B" w:rsidRPr="002A3DDB">
              <w:rPr>
                <w:rFonts w:ascii="Times New Roman" w:hAnsi="Times New Roman" w:cs="Times New Roman"/>
                <w:sz w:val="24"/>
                <w:szCs w:val="24"/>
              </w:rPr>
              <w:t xml:space="preserve"> for</w:t>
            </w:r>
            <w:r w:rsidR="00364581" w:rsidRPr="002A3DDB">
              <w:rPr>
                <w:rFonts w:ascii="Times New Roman" w:hAnsi="Times New Roman" w:cs="Times New Roman"/>
                <w:sz w:val="24"/>
                <w:szCs w:val="24"/>
              </w:rPr>
              <w:t xml:space="preserve"> Instructional Rounds schedule</w:t>
            </w:r>
            <w:r w:rsidR="00C31ED0">
              <w:rPr>
                <w:rFonts w:ascii="Times New Roman" w:hAnsi="Times New Roman" w:cs="Times New Roman"/>
                <w:sz w:val="24"/>
                <w:szCs w:val="24"/>
              </w:rPr>
              <w:t xml:space="preserve"> at the internship program</w:t>
            </w:r>
            <w:r w:rsidR="00364581" w:rsidRPr="002A3DDB">
              <w:rPr>
                <w:rFonts w:ascii="Times New Roman" w:hAnsi="Times New Roman" w:cs="Times New Roman"/>
                <w:sz w:val="24"/>
                <w:szCs w:val="24"/>
              </w:rPr>
              <w:t>).</w:t>
            </w:r>
          </w:p>
          <w:p w14:paraId="50EE33E4" w14:textId="77777777" w:rsidR="00527242" w:rsidRPr="002A3DDB" w:rsidRDefault="00527242" w:rsidP="00527242">
            <w:pPr>
              <w:rPr>
                <w:rFonts w:ascii="Times New Roman" w:hAnsi="Times New Roman" w:cs="Times New Roman"/>
                <w:sz w:val="24"/>
                <w:szCs w:val="24"/>
              </w:rPr>
            </w:pPr>
          </w:p>
          <w:p w14:paraId="6949533F" w14:textId="30582F91" w:rsidR="00527242" w:rsidRPr="002A3DDB" w:rsidRDefault="00527242" w:rsidP="00527242">
            <w:pPr>
              <w:rPr>
                <w:rFonts w:ascii="Times New Roman" w:hAnsi="Times New Roman" w:cs="Times New Roman"/>
                <w:sz w:val="24"/>
                <w:szCs w:val="24"/>
              </w:rPr>
            </w:pPr>
            <w:r w:rsidRPr="002A3DDB">
              <w:rPr>
                <w:rFonts w:ascii="Times New Roman" w:hAnsi="Times New Roman" w:cs="Times New Roman"/>
                <w:sz w:val="24"/>
                <w:szCs w:val="24"/>
              </w:rPr>
              <w:t xml:space="preserve">For all advanced candidates, the newly proposed advanced master’s program </w:t>
            </w:r>
            <w:r w:rsidR="009A7BA4" w:rsidRPr="002A3DDB">
              <w:rPr>
                <w:rFonts w:ascii="Times New Roman" w:hAnsi="Times New Roman" w:cs="Times New Roman"/>
                <w:sz w:val="24"/>
                <w:szCs w:val="24"/>
              </w:rPr>
              <w:t>is set to</w:t>
            </w:r>
            <w:r w:rsidRPr="002A3DDB">
              <w:rPr>
                <w:rFonts w:ascii="Times New Roman" w:hAnsi="Times New Roman" w:cs="Times New Roman"/>
                <w:sz w:val="24"/>
                <w:szCs w:val="24"/>
              </w:rPr>
              <w:t xml:space="preserve"> replace the existing program</w:t>
            </w:r>
            <w:r w:rsidR="009A7BA4" w:rsidRPr="002A3DDB">
              <w:rPr>
                <w:rFonts w:ascii="Times New Roman" w:hAnsi="Times New Roman" w:cs="Times New Roman"/>
                <w:sz w:val="24"/>
                <w:szCs w:val="24"/>
              </w:rPr>
              <w:t>s</w:t>
            </w:r>
            <w:r w:rsidRPr="002A3DDB">
              <w:rPr>
                <w:rFonts w:ascii="Times New Roman" w:hAnsi="Times New Roman" w:cs="Times New Roman"/>
                <w:sz w:val="24"/>
                <w:szCs w:val="24"/>
              </w:rPr>
              <w:t>. The existing programs include a single clinical experience, while the new advanced master’s program will consist of a minimum of two dynamic placements. For example, candidates in the new advance</w:t>
            </w:r>
            <w:r w:rsidR="006D2CE1" w:rsidRPr="002A3DDB">
              <w:rPr>
                <w:rFonts w:ascii="Times New Roman" w:hAnsi="Times New Roman" w:cs="Times New Roman"/>
                <w:sz w:val="24"/>
                <w:szCs w:val="24"/>
              </w:rPr>
              <w:t>d</w:t>
            </w:r>
            <w:r w:rsidRPr="002A3DDB">
              <w:rPr>
                <w:rFonts w:ascii="Times New Roman" w:hAnsi="Times New Roman" w:cs="Times New Roman"/>
                <w:sz w:val="24"/>
                <w:szCs w:val="24"/>
              </w:rPr>
              <w:t xml:space="preserve"> program will be required to demonstrate their content knowledge, pedagogical skills, and </w:t>
            </w:r>
            <w:r w:rsidR="009A7BA4" w:rsidRPr="002A3DDB">
              <w:rPr>
                <w:rFonts w:ascii="Times New Roman" w:hAnsi="Times New Roman" w:cs="Times New Roman"/>
                <w:sz w:val="24"/>
                <w:szCs w:val="24"/>
              </w:rPr>
              <w:t>research acumen for the construction and delivery of a professional development workshop aimed to advance the knowledge base of their peer educators (see advanced master’s assessment schema</w:t>
            </w:r>
            <w:r w:rsidR="00E54A57">
              <w:rPr>
                <w:rFonts w:ascii="Times New Roman" w:hAnsi="Times New Roman" w:cs="Times New Roman"/>
                <w:sz w:val="24"/>
                <w:szCs w:val="24"/>
              </w:rPr>
              <w:t xml:space="preserve"> in Appendix D2</w:t>
            </w:r>
            <w:r w:rsidR="009A7BA4" w:rsidRPr="002A3DDB">
              <w:rPr>
                <w:rFonts w:ascii="Times New Roman" w:hAnsi="Times New Roman" w:cs="Times New Roman"/>
                <w:sz w:val="24"/>
                <w:szCs w:val="24"/>
              </w:rPr>
              <w:t xml:space="preserve">). </w:t>
            </w:r>
          </w:p>
          <w:p w14:paraId="1D5EF266" w14:textId="77777777" w:rsidR="009A7BA4" w:rsidRPr="002A3DDB" w:rsidRDefault="009A7BA4" w:rsidP="00527242">
            <w:pPr>
              <w:rPr>
                <w:rFonts w:ascii="Times New Roman" w:hAnsi="Times New Roman" w:cs="Times New Roman"/>
                <w:sz w:val="24"/>
                <w:szCs w:val="24"/>
              </w:rPr>
            </w:pPr>
          </w:p>
          <w:p w14:paraId="5E85FDFB" w14:textId="27FE36AC" w:rsidR="009A7BA4" w:rsidRPr="002A3DDB" w:rsidRDefault="009A7BA4" w:rsidP="00527242">
            <w:pPr>
              <w:rPr>
                <w:rFonts w:ascii="Times New Roman" w:hAnsi="Times New Roman" w:cs="Times New Roman"/>
                <w:sz w:val="24"/>
                <w:szCs w:val="24"/>
              </w:rPr>
            </w:pPr>
            <w:r w:rsidRPr="002A3DDB">
              <w:rPr>
                <w:rFonts w:ascii="Times New Roman" w:hAnsi="Times New Roman" w:cs="Times New Roman"/>
                <w:sz w:val="24"/>
                <w:szCs w:val="24"/>
              </w:rPr>
              <w:t xml:space="preserve">For all clinical </w:t>
            </w:r>
            <w:r w:rsidR="00143B9A" w:rsidRPr="002A3DDB">
              <w:rPr>
                <w:rFonts w:ascii="Times New Roman" w:hAnsi="Times New Roman" w:cs="Times New Roman"/>
                <w:sz w:val="24"/>
                <w:szCs w:val="24"/>
              </w:rPr>
              <w:t>curricula</w:t>
            </w:r>
            <w:r w:rsidRPr="002A3DDB">
              <w:rPr>
                <w:rFonts w:ascii="Times New Roman" w:hAnsi="Times New Roman" w:cs="Times New Roman"/>
                <w:sz w:val="24"/>
                <w:szCs w:val="24"/>
              </w:rPr>
              <w:t xml:space="preserve">, candidates </w:t>
            </w:r>
            <w:r w:rsidR="007A4432" w:rsidRPr="002A3DDB">
              <w:rPr>
                <w:rFonts w:ascii="Times New Roman" w:hAnsi="Times New Roman" w:cs="Times New Roman"/>
                <w:sz w:val="24"/>
                <w:szCs w:val="24"/>
              </w:rPr>
              <w:t xml:space="preserve">independently evaluate their teaching performance along their university supervisor at two critical transition points  </w:t>
            </w:r>
            <w:r w:rsidR="0067217B" w:rsidRPr="002A3DDB">
              <w:rPr>
                <w:rFonts w:ascii="Times New Roman" w:hAnsi="Times New Roman" w:cs="Times New Roman"/>
                <w:sz w:val="24"/>
                <w:szCs w:val="24"/>
              </w:rPr>
              <w:t>(</w:t>
            </w:r>
            <w:r w:rsidR="007A4432" w:rsidRPr="002A3DDB">
              <w:rPr>
                <w:rFonts w:ascii="Times New Roman" w:hAnsi="Times New Roman" w:cs="Times New Roman"/>
                <w:sz w:val="24"/>
                <w:szCs w:val="24"/>
              </w:rPr>
              <w:t>mid-point and final).  To further candidate’s input for evaluating clinical placements, the revised end-of-program/exit survey will permit candidates to evaluate clinical supervisors and host teachers alike, fall 2016 (</w:t>
            </w:r>
            <w:r w:rsidR="0061011A" w:rsidRPr="002A3DDB">
              <w:rPr>
                <w:rFonts w:ascii="Times New Roman" w:hAnsi="Times New Roman" w:cs="Times New Roman"/>
                <w:sz w:val="24"/>
                <w:szCs w:val="24"/>
              </w:rPr>
              <w:t xml:space="preserve">drafts of </w:t>
            </w:r>
            <w:r w:rsidR="007A4432" w:rsidRPr="002A3DDB">
              <w:rPr>
                <w:rFonts w:ascii="Times New Roman" w:hAnsi="Times New Roman" w:cs="Times New Roman"/>
                <w:sz w:val="24"/>
                <w:szCs w:val="24"/>
              </w:rPr>
              <w:t>revised end-of-year/exit survey</w:t>
            </w:r>
            <w:r w:rsidR="0061011A" w:rsidRPr="002A3DDB">
              <w:rPr>
                <w:rFonts w:ascii="Times New Roman" w:hAnsi="Times New Roman" w:cs="Times New Roman"/>
                <w:sz w:val="24"/>
                <w:szCs w:val="24"/>
              </w:rPr>
              <w:t xml:space="preserve"> will be provided at the onsite visit</w:t>
            </w:r>
            <w:r w:rsidR="007A4432" w:rsidRPr="002A3DDB">
              <w:rPr>
                <w:rFonts w:ascii="Times New Roman" w:hAnsi="Times New Roman" w:cs="Times New Roman"/>
                <w:sz w:val="24"/>
                <w:szCs w:val="24"/>
              </w:rPr>
              <w:t>). These data will help to tr</w:t>
            </w:r>
            <w:r w:rsidR="00E61AA9" w:rsidRPr="002A3DDB">
              <w:rPr>
                <w:rFonts w:ascii="Times New Roman" w:hAnsi="Times New Roman" w:cs="Times New Roman"/>
                <w:sz w:val="24"/>
                <w:szCs w:val="24"/>
              </w:rPr>
              <w:t>iangulate the current practices</w:t>
            </w:r>
            <w:r w:rsidR="007A4432" w:rsidRPr="002A3DDB">
              <w:rPr>
                <w:rFonts w:ascii="Times New Roman" w:hAnsi="Times New Roman" w:cs="Times New Roman"/>
                <w:sz w:val="24"/>
                <w:szCs w:val="24"/>
              </w:rPr>
              <w:t xml:space="preserve"> (</w:t>
            </w:r>
            <w:r w:rsidR="0061011A" w:rsidRPr="002A3DDB">
              <w:rPr>
                <w:rFonts w:ascii="Times New Roman" w:hAnsi="Times New Roman" w:cs="Times New Roman"/>
                <w:sz w:val="24"/>
                <w:szCs w:val="24"/>
              </w:rPr>
              <w:t>e.g.</w:t>
            </w:r>
            <w:r w:rsidR="007A4432" w:rsidRPr="002A3DDB">
              <w:rPr>
                <w:rFonts w:ascii="Times New Roman" w:hAnsi="Times New Roman" w:cs="Times New Roman"/>
                <w:sz w:val="24"/>
                <w:szCs w:val="24"/>
              </w:rPr>
              <w:t>, school leader recommendation and/or state TEAM training) for ensuring clinical faculty quality.</w:t>
            </w:r>
          </w:p>
          <w:p w14:paraId="3641D088" w14:textId="77777777" w:rsidR="00527242" w:rsidRDefault="00527242" w:rsidP="00527242">
            <w:pPr>
              <w:rPr>
                <w:rFonts w:ascii="Times New Roman" w:hAnsi="Times New Roman" w:cs="Times New Roman"/>
                <w:sz w:val="24"/>
                <w:szCs w:val="24"/>
              </w:rPr>
            </w:pPr>
          </w:p>
          <w:p w14:paraId="0DEEBDCB" w14:textId="12316D9A" w:rsidR="00ED4336" w:rsidRDefault="00ED4336" w:rsidP="00527242">
            <w:pPr>
              <w:rPr>
                <w:rFonts w:ascii="Times New Roman" w:hAnsi="Times New Roman" w:cs="Times New Roman"/>
                <w:sz w:val="24"/>
                <w:szCs w:val="24"/>
              </w:rPr>
            </w:pPr>
            <w:r>
              <w:rPr>
                <w:rFonts w:ascii="Times New Roman" w:hAnsi="Times New Roman" w:cs="Times New Roman"/>
                <w:sz w:val="24"/>
                <w:szCs w:val="24"/>
              </w:rPr>
              <w:t xml:space="preserve">Additionally, in response to feedback from candidates about the timely allocation of clinical placements, the Office of Educational and Clinical Experiences (OECE) has drafted procedures to follow for future placement planning and operations (Appendix G1). </w:t>
            </w:r>
          </w:p>
          <w:p w14:paraId="0D467002" w14:textId="77777777" w:rsidR="00ED4336" w:rsidRPr="002A3DDB" w:rsidRDefault="00ED4336" w:rsidP="00527242">
            <w:pPr>
              <w:rPr>
                <w:rFonts w:ascii="Times New Roman" w:hAnsi="Times New Roman" w:cs="Times New Roman"/>
                <w:sz w:val="24"/>
                <w:szCs w:val="24"/>
              </w:rPr>
            </w:pPr>
          </w:p>
          <w:p w14:paraId="0462CAE6" w14:textId="15E9BC56" w:rsidR="0067217B" w:rsidRPr="002A3DDB" w:rsidRDefault="0067217B" w:rsidP="00527242">
            <w:pPr>
              <w:rPr>
                <w:rFonts w:ascii="Times New Roman" w:hAnsi="Times New Roman" w:cs="Times New Roman"/>
                <w:sz w:val="24"/>
                <w:szCs w:val="24"/>
              </w:rPr>
            </w:pPr>
            <w:r w:rsidRPr="002A3DDB">
              <w:rPr>
                <w:rFonts w:ascii="Times New Roman" w:hAnsi="Times New Roman" w:cs="Times New Roman"/>
                <w:b/>
                <w:i/>
                <w:sz w:val="24"/>
                <w:szCs w:val="24"/>
              </w:rPr>
              <w:t>Other evidence requested by the BOE Team for validation will be provided during the onsite visit.</w:t>
            </w:r>
          </w:p>
        </w:tc>
      </w:tr>
      <w:tr w:rsidR="00663043" w:rsidRPr="002A3DDB" w14:paraId="4900D030" w14:textId="77777777" w:rsidTr="0071625F">
        <w:trPr>
          <w:trHeight w:val="4220"/>
        </w:trPr>
        <w:tc>
          <w:tcPr>
            <w:tcW w:w="1717" w:type="dxa"/>
          </w:tcPr>
          <w:p w14:paraId="1028D5E5" w14:textId="6243C601" w:rsidR="00663043" w:rsidRPr="002A3DDB" w:rsidRDefault="00663043" w:rsidP="00123962">
            <w:pPr>
              <w:rPr>
                <w:rFonts w:ascii="Times New Roman" w:hAnsi="Times New Roman" w:cs="Times New Roman"/>
                <w:sz w:val="24"/>
                <w:szCs w:val="24"/>
              </w:rPr>
            </w:pPr>
          </w:p>
          <w:p w14:paraId="09A26CB7" w14:textId="77777777" w:rsidR="00CE3C16" w:rsidRPr="002A3DDB" w:rsidRDefault="00CE3C16" w:rsidP="00123962">
            <w:pPr>
              <w:rPr>
                <w:rFonts w:ascii="Times New Roman" w:hAnsi="Times New Roman" w:cs="Times New Roman"/>
                <w:sz w:val="24"/>
                <w:szCs w:val="24"/>
              </w:rPr>
            </w:pPr>
          </w:p>
          <w:p w14:paraId="4402278C" w14:textId="77777777" w:rsidR="00CE3C16" w:rsidRPr="002A3DDB" w:rsidRDefault="0067217B" w:rsidP="00CE3C16">
            <w:pPr>
              <w:jc w:val="center"/>
              <w:rPr>
                <w:rFonts w:ascii="Times New Roman" w:hAnsi="Times New Roman" w:cs="Times New Roman"/>
                <w:b/>
                <w:sz w:val="24"/>
                <w:szCs w:val="24"/>
              </w:rPr>
            </w:pPr>
            <w:r w:rsidRPr="002A3DDB">
              <w:rPr>
                <w:rFonts w:ascii="Times New Roman" w:hAnsi="Times New Roman" w:cs="Times New Roman"/>
                <w:b/>
                <w:sz w:val="24"/>
                <w:szCs w:val="24"/>
              </w:rPr>
              <w:t xml:space="preserve">Standard </w:t>
            </w:r>
            <w:r w:rsidR="00CE3C16" w:rsidRPr="002A3DDB">
              <w:rPr>
                <w:rFonts w:ascii="Times New Roman" w:hAnsi="Times New Roman" w:cs="Times New Roman"/>
                <w:b/>
                <w:sz w:val="24"/>
                <w:szCs w:val="24"/>
              </w:rPr>
              <w:t>4</w:t>
            </w:r>
          </w:p>
          <w:p w14:paraId="21B410DC" w14:textId="77777777" w:rsidR="0067217B" w:rsidRPr="002A3DDB" w:rsidRDefault="0067217B" w:rsidP="00CE3C16">
            <w:pPr>
              <w:jc w:val="center"/>
              <w:rPr>
                <w:rFonts w:ascii="Times New Roman" w:hAnsi="Times New Roman" w:cs="Times New Roman"/>
                <w:b/>
                <w:sz w:val="24"/>
                <w:szCs w:val="24"/>
              </w:rPr>
            </w:pPr>
          </w:p>
          <w:p w14:paraId="373156A3" w14:textId="13F78A16" w:rsidR="0067217B" w:rsidRPr="002A3DDB" w:rsidRDefault="0067217B" w:rsidP="00CE3C16">
            <w:pPr>
              <w:jc w:val="center"/>
              <w:rPr>
                <w:rFonts w:ascii="Times New Roman" w:hAnsi="Times New Roman" w:cs="Times New Roman"/>
                <w:b/>
                <w:sz w:val="24"/>
                <w:szCs w:val="24"/>
              </w:rPr>
            </w:pPr>
            <w:r w:rsidRPr="002A3DDB">
              <w:rPr>
                <w:rFonts w:ascii="Times New Roman" w:hAnsi="Times New Roman" w:cs="Times New Roman"/>
                <w:b/>
                <w:sz w:val="24"/>
                <w:szCs w:val="24"/>
              </w:rPr>
              <w:t>Diversity</w:t>
            </w:r>
          </w:p>
        </w:tc>
        <w:tc>
          <w:tcPr>
            <w:tcW w:w="2110" w:type="dxa"/>
          </w:tcPr>
          <w:p w14:paraId="4BB75419" w14:textId="77777777" w:rsidR="00663043" w:rsidRPr="002A3DDB" w:rsidRDefault="00663043" w:rsidP="00CE3C16">
            <w:pPr>
              <w:rPr>
                <w:rFonts w:ascii="Times New Roman" w:hAnsi="Times New Roman" w:cs="Times New Roman"/>
                <w:sz w:val="24"/>
                <w:szCs w:val="24"/>
              </w:rPr>
            </w:pPr>
          </w:p>
          <w:p w14:paraId="566127C1" w14:textId="5322137B" w:rsidR="0067217B" w:rsidRPr="002A3DDB" w:rsidRDefault="0067217B" w:rsidP="00CE3C16">
            <w:pPr>
              <w:rPr>
                <w:rFonts w:ascii="Times New Roman" w:hAnsi="Times New Roman" w:cs="Times New Roman"/>
                <w:sz w:val="24"/>
                <w:szCs w:val="24"/>
              </w:rPr>
            </w:pPr>
            <w:r w:rsidRPr="002A3DDB">
              <w:rPr>
                <w:rFonts w:ascii="Times New Roman" w:hAnsi="Times New Roman" w:cs="Times New Roman"/>
                <w:sz w:val="24"/>
                <w:szCs w:val="24"/>
              </w:rPr>
              <w:t>This standard was found to be unmet in the 2014 review</w:t>
            </w:r>
          </w:p>
        </w:tc>
        <w:tc>
          <w:tcPr>
            <w:tcW w:w="2318" w:type="dxa"/>
          </w:tcPr>
          <w:p w14:paraId="683EED5B" w14:textId="77777777" w:rsidR="00663043" w:rsidRPr="002A3DDB" w:rsidRDefault="00663043" w:rsidP="00123962">
            <w:pPr>
              <w:rPr>
                <w:rFonts w:ascii="Times New Roman" w:hAnsi="Times New Roman" w:cs="Times New Roman"/>
                <w:sz w:val="24"/>
                <w:szCs w:val="24"/>
              </w:rPr>
            </w:pPr>
          </w:p>
          <w:p w14:paraId="51249885" w14:textId="77777777" w:rsidR="00DD257F" w:rsidRPr="002A3DDB" w:rsidRDefault="00DD257F" w:rsidP="00123962">
            <w:pPr>
              <w:rPr>
                <w:rFonts w:ascii="Times New Roman" w:hAnsi="Times New Roman" w:cs="Times New Roman"/>
                <w:sz w:val="24"/>
                <w:szCs w:val="24"/>
              </w:rPr>
            </w:pPr>
          </w:p>
          <w:p w14:paraId="03FC05B4" w14:textId="77777777" w:rsidR="00DD257F" w:rsidRPr="002A3DDB" w:rsidRDefault="00DD257F" w:rsidP="00DD257F">
            <w:pPr>
              <w:jc w:val="center"/>
              <w:rPr>
                <w:rFonts w:ascii="Times New Roman" w:hAnsi="Times New Roman" w:cs="Times New Roman"/>
                <w:sz w:val="24"/>
                <w:szCs w:val="24"/>
              </w:rPr>
            </w:pPr>
            <w:r w:rsidRPr="002A3DDB">
              <w:rPr>
                <w:rFonts w:ascii="Times New Roman" w:hAnsi="Times New Roman" w:cs="Times New Roman"/>
                <w:sz w:val="24"/>
                <w:szCs w:val="24"/>
              </w:rPr>
              <w:t>None</w:t>
            </w:r>
          </w:p>
        </w:tc>
        <w:tc>
          <w:tcPr>
            <w:tcW w:w="7805" w:type="dxa"/>
          </w:tcPr>
          <w:p w14:paraId="618649B4" w14:textId="77777777" w:rsidR="002F06A3" w:rsidRPr="002A3DDB" w:rsidRDefault="002F06A3" w:rsidP="002F06A3">
            <w:pPr>
              <w:rPr>
                <w:rFonts w:ascii="Times New Roman" w:hAnsi="Times New Roman" w:cs="Times New Roman"/>
                <w:sz w:val="24"/>
                <w:szCs w:val="24"/>
              </w:rPr>
            </w:pPr>
          </w:p>
          <w:p w14:paraId="5FF870F8" w14:textId="77777777" w:rsidR="003953A0" w:rsidRPr="002A3DDB" w:rsidRDefault="002F06A3" w:rsidP="003953A0">
            <w:pPr>
              <w:rPr>
                <w:rFonts w:ascii="Times New Roman" w:hAnsi="Times New Roman" w:cs="Times New Roman"/>
                <w:sz w:val="24"/>
                <w:szCs w:val="24"/>
              </w:rPr>
            </w:pPr>
            <w:r w:rsidRPr="002A3DDB">
              <w:rPr>
                <w:rFonts w:ascii="Times New Roman" w:hAnsi="Times New Roman" w:cs="Times New Roman"/>
                <w:sz w:val="24"/>
                <w:szCs w:val="24"/>
              </w:rPr>
              <w:t xml:space="preserve">The EPP </w:t>
            </w:r>
            <w:r w:rsidR="00203AF2" w:rsidRPr="002A3DDB">
              <w:rPr>
                <w:rFonts w:ascii="Times New Roman" w:hAnsi="Times New Roman" w:cs="Times New Roman"/>
                <w:sz w:val="24"/>
                <w:szCs w:val="24"/>
              </w:rPr>
              <w:t xml:space="preserve">currently outpaces the state rate for minority teachers in the workplace. </w:t>
            </w:r>
            <w:r w:rsidR="003953A0" w:rsidRPr="002A3DDB">
              <w:rPr>
                <w:rFonts w:ascii="Times New Roman" w:hAnsi="Times New Roman" w:cs="Times New Roman"/>
                <w:sz w:val="24"/>
                <w:szCs w:val="24"/>
              </w:rPr>
              <w:t xml:space="preserve">The latest Integrated Postsecondary Education Data System (IPEDS) report for the State of Connecticut (2013-2014) reveals that of the 18 teacher education providers, 3,558 candidates were enrolled. An analysis of teacher education enrollment indicates that only 7% of matriculating candidates were racial/ethnic minority. This finding is similar to the rate among in-service minority teachers across the state (which hovers around 7% annually), indicating a persistent disproportionality. </w:t>
            </w:r>
          </w:p>
          <w:p w14:paraId="5912CE62" w14:textId="77777777" w:rsidR="003953A0" w:rsidRPr="002A3DDB" w:rsidRDefault="003953A0" w:rsidP="003953A0">
            <w:pPr>
              <w:rPr>
                <w:rFonts w:ascii="Times New Roman" w:hAnsi="Times New Roman" w:cs="Times New Roman"/>
                <w:sz w:val="24"/>
                <w:szCs w:val="24"/>
              </w:rPr>
            </w:pPr>
          </w:p>
          <w:p w14:paraId="41845BD8" w14:textId="00442F1C" w:rsidR="003953A0" w:rsidRPr="002A3DDB" w:rsidRDefault="003953A0" w:rsidP="003953A0">
            <w:pPr>
              <w:rPr>
                <w:rFonts w:ascii="Times New Roman" w:hAnsi="Times New Roman" w:cs="Times New Roman"/>
                <w:sz w:val="24"/>
                <w:szCs w:val="24"/>
              </w:rPr>
            </w:pPr>
            <w:r w:rsidRPr="002A3DDB">
              <w:rPr>
                <w:rFonts w:ascii="Times New Roman" w:hAnsi="Times New Roman" w:cs="Times New Roman"/>
                <w:sz w:val="24"/>
                <w:szCs w:val="24"/>
              </w:rPr>
              <w:t xml:space="preserve">Data for Eastern Connecticut State University show that Eastern increased its overall percentage of minority teacher candidates from less than 5% in 2006 to 13% in 2011, with an overall average of 10% over the past three years (2014-2016). (See chart </w:t>
            </w:r>
            <w:r w:rsidR="001D4C8B" w:rsidRPr="002A3DDB">
              <w:rPr>
                <w:rFonts w:ascii="Times New Roman" w:hAnsi="Times New Roman" w:cs="Times New Roman"/>
                <w:sz w:val="24"/>
                <w:szCs w:val="24"/>
              </w:rPr>
              <w:t xml:space="preserve">in </w:t>
            </w:r>
            <w:r w:rsidR="00FD335C">
              <w:rPr>
                <w:rFonts w:ascii="Times New Roman" w:hAnsi="Times New Roman" w:cs="Times New Roman"/>
                <w:sz w:val="24"/>
                <w:szCs w:val="24"/>
              </w:rPr>
              <w:t>Appendix J3</w:t>
            </w:r>
            <w:r w:rsidR="001D4C8B" w:rsidRPr="002A3DDB">
              <w:rPr>
                <w:rFonts w:ascii="Times New Roman" w:hAnsi="Times New Roman" w:cs="Times New Roman"/>
                <w:sz w:val="24"/>
                <w:szCs w:val="24"/>
              </w:rPr>
              <w:t xml:space="preserve"> </w:t>
            </w:r>
            <w:r w:rsidRPr="002A3DDB">
              <w:rPr>
                <w:rFonts w:ascii="Times New Roman" w:hAnsi="Times New Roman" w:cs="Times New Roman"/>
                <w:sz w:val="24"/>
                <w:szCs w:val="24"/>
              </w:rPr>
              <w:t>on Minority Teacher Enrollment and Supply).</w:t>
            </w:r>
          </w:p>
          <w:p w14:paraId="77C66DF5" w14:textId="73A00E29" w:rsidR="002F06A3" w:rsidRPr="002A3DDB" w:rsidRDefault="002F06A3" w:rsidP="002F06A3">
            <w:pPr>
              <w:rPr>
                <w:rFonts w:ascii="Times New Roman" w:hAnsi="Times New Roman" w:cs="Times New Roman"/>
                <w:sz w:val="24"/>
                <w:szCs w:val="24"/>
              </w:rPr>
            </w:pPr>
          </w:p>
          <w:p w14:paraId="367C567E" w14:textId="115A34C6" w:rsidR="002F06A3" w:rsidRPr="002A3DDB" w:rsidRDefault="003953A0" w:rsidP="002F06A3">
            <w:pPr>
              <w:rPr>
                <w:rFonts w:ascii="Times New Roman" w:hAnsi="Times New Roman" w:cs="Times New Roman"/>
                <w:sz w:val="24"/>
                <w:szCs w:val="24"/>
              </w:rPr>
            </w:pPr>
            <w:r w:rsidRPr="002A3DDB">
              <w:rPr>
                <w:rFonts w:ascii="Times New Roman" w:hAnsi="Times New Roman" w:cs="Times New Roman"/>
                <w:sz w:val="24"/>
                <w:szCs w:val="24"/>
              </w:rPr>
              <w:t xml:space="preserve">The EPP, however, seeks to grow the number of minority teachers prepared by Eastern to meet market demands. </w:t>
            </w:r>
            <w:r w:rsidR="00622B2F" w:rsidRPr="002A3DDB">
              <w:rPr>
                <w:rFonts w:ascii="Times New Roman" w:hAnsi="Times New Roman" w:cs="Times New Roman"/>
                <w:sz w:val="24"/>
                <w:szCs w:val="24"/>
              </w:rPr>
              <w:t xml:space="preserve">In fall 2016, the EPP awarded two assistantships for the new Holmes Master’s program and an additional Dean’s </w:t>
            </w:r>
            <w:r w:rsidR="0064298C" w:rsidRPr="002A3DDB">
              <w:rPr>
                <w:rFonts w:ascii="Times New Roman" w:hAnsi="Times New Roman" w:cs="Times New Roman"/>
                <w:sz w:val="24"/>
                <w:szCs w:val="24"/>
              </w:rPr>
              <w:t>Scholar</w:t>
            </w:r>
            <w:r w:rsidR="00622B2F" w:rsidRPr="002A3DDB">
              <w:rPr>
                <w:rFonts w:ascii="Times New Roman" w:hAnsi="Times New Roman" w:cs="Times New Roman"/>
                <w:sz w:val="24"/>
                <w:szCs w:val="24"/>
              </w:rPr>
              <w:t xml:space="preserve"> in accordance with this goal. Eastern is the first EPP in the state to host the program. Each of these candidates participates in initiatives to advance diversity within the progression as part of hi</w:t>
            </w:r>
            <w:r w:rsidR="00C92AA2" w:rsidRPr="002A3DDB">
              <w:rPr>
                <w:rFonts w:ascii="Times New Roman" w:hAnsi="Times New Roman" w:cs="Times New Roman"/>
                <w:sz w:val="24"/>
                <w:szCs w:val="24"/>
              </w:rPr>
              <w:t xml:space="preserve">s/her assistantship. </w:t>
            </w:r>
            <w:r w:rsidR="00622B2F" w:rsidRPr="002A3DDB">
              <w:rPr>
                <w:rFonts w:ascii="Times New Roman" w:hAnsi="Times New Roman" w:cs="Times New Roman"/>
                <w:sz w:val="24"/>
                <w:szCs w:val="24"/>
              </w:rPr>
              <w:t xml:space="preserve">For example, one is working with a local high school to examine the root causes for minority teacher. The principal has approved the action (see email correspondence </w:t>
            </w:r>
            <w:r w:rsidR="001D4C8B" w:rsidRPr="002A3DDB">
              <w:rPr>
                <w:rFonts w:ascii="Times New Roman" w:hAnsi="Times New Roman" w:cs="Times New Roman"/>
                <w:sz w:val="24"/>
                <w:szCs w:val="24"/>
              </w:rPr>
              <w:t xml:space="preserve">in </w:t>
            </w:r>
            <w:r w:rsidR="00FD335C">
              <w:rPr>
                <w:rFonts w:ascii="Times New Roman" w:hAnsi="Times New Roman" w:cs="Times New Roman"/>
                <w:sz w:val="24"/>
                <w:szCs w:val="24"/>
              </w:rPr>
              <w:t>Appendix J4</w:t>
            </w:r>
            <w:r w:rsidR="001D4C8B" w:rsidRPr="002A3DDB">
              <w:rPr>
                <w:rFonts w:ascii="Times New Roman" w:hAnsi="Times New Roman" w:cs="Times New Roman"/>
                <w:sz w:val="24"/>
                <w:szCs w:val="24"/>
              </w:rPr>
              <w:t xml:space="preserve"> </w:t>
            </w:r>
            <w:r w:rsidR="00622B2F" w:rsidRPr="002A3DDB">
              <w:rPr>
                <w:rFonts w:ascii="Times New Roman" w:hAnsi="Times New Roman" w:cs="Times New Roman"/>
                <w:sz w:val="24"/>
                <w:szCs w:val="24"/>
              </w:rPr>
              <w:t>on Minority Teacher Recruitment).</w:t>
            </w:r>
          </w:p>
          <w:p w14:paraId="7AB182F1" w14:textId="6C5C6BF8" w:rsidR="002F06A3" w:rsidRPr="002A3DDB" w:rsidRDefault="002F06A3" w:rsidP="002F06A3">
            <w:pPr>
              <w:rPr>
                <w:rFonts w:ascii="Times New Roman" w:hAnsi="Times New Roman" w:cs="Times New Roman"/>
                <w:sz w:val="24"/>
                <w:szCs w:val="24"/>
              </w:rPr>
            </w:pPr>
          </w:p>
          <w:p w14:paraId="30A6FFDB" w14:textId="4CA739AA" w:rsidR="00244C0B" w:rsidRPr="002A3DDB" w:rsidRDefault="00244C0B" w:rsidP="002F06A3">
            <w:pPr>
              <w:rPr>
                <w:rFonts w:ascii="Times New Roman" w:hAnsi="Times New Roman" w:cs="Times New Roman"/>
                <w:sz w:val="24"/>
                <w:szCs w:val="24"/>
              </w:rPr>
            </w:pPr>
            <w:r w:rsidRPr="002A3DDB">
              <w:rPr>
                <w:rFonts w:ascii="Times New Roman" w:hAnsi="Times New Roman" w:cs="Times New Roman"/>
                <w:sz w:val="24"/>
                <w:szCs w:val="24"/>
              </w:rPr>
              <w:t xml:space="preserve">In an effort </w:t>
            </w:r>
            <w:r w:rsidR="006D59A6" w:rsidRPr="002A3DDB">
              <w:rPr>
                <w:rFonts w:ascii="Times New Roman" w:hAnsi="Times New Roman" w:cs="Times New Roman"/>
                <w:sz w:val="24"/>
                <w:szCs w:val="24"/>
              </w:rPr>
              <w:t xml:space="preserve">to </w:t>
            </w:r>
            <w:r w:rsidR="00C92AA2" w:rsidRPr="002A3DDB">
              <w:rPr>
                <w:rFonts w:ascii="Times New Roman" w:hAnsi="Times New Roman" w:cs="Times New Roman"/>
                <w:sz w:val="24"/>
                <w:szCs w:val="24"/>
              </w:rPr>
              <w:t xml:space="preserve">maximize cultural competence among Eastern’s teacher candidates, the EPP has fostered a growing relationship with the nation’s top rated Historically Black College and University by U.S. News and World Report, Spelman College. </w:t>
            </w:r>
            <w:r w:rsidR="006D59A6" w:rsidRPr="002A3DDB">
              <w:rPr>
                <w:rFonts w:ascii="Times New Roman" w:hAnsi="Times New Roman" w:cs="Times New Roman"/>
                <w:sz w:val="24"/>
                <w:szCs w:val="24"/>
              </w:rPr>
              <w:t>This relationship is significant in that it add</w:t>
            </w:r>
            <w:r w:rsidR="00E5720B" w:rsidRPr="002A3DDB">
              <w:rPr>
                <w:rFonts w:ascii="Times New Roman" w:hAnsi="Times New Roman" w:cs="Times New Roman"/>
                <w:sz w:val="24"/>
                <w:szCs w:val="24"/>
              </w:rPr>
              <w:t>s</w:t>
            </w:r>
            <w:r w:rsidR="006D59A6" w:rsidRPr="002A3DDB">
              <w:rPr>
                <w:rFonts w:ascii="Times New Roman" w:hAnsi="Times New Roman" w:cs="Times New Roman"/>
                <w:sz w:val="24"/>
                <w:szCs w:val="24"/>
              </w:rPr>
              <w:t xml:space="preserve"> to the programming of diversity, which is imperative for preparing future educators who are empathetic to the cultural assets, needs, and perspectives of all learners. </w:t>
            </w:r>
            <w:r w:rsidR="00E5720B" w:rsidRPr="002A3DDB">
              <w:rPr>
                <w:rFonts w:ascii="Times New Roman" w:hAnsi="Times New Roman" w:cs="Times New Roman"/>
                <w:sz w:val="24"/>
                <w:szCs w:val="24"/>
              </w:rPr>
              <w:t xml:space="preserve">Because Spelman offers </w:t>
            </w:r>
            <w:r w:rsidR="00B172B8" w:rsidRPr="002A3DDB">
              <w:rPr>
                <w:rFonts w:ascii="Times New Roman" w:hAnsi="Times New Roman" w:cs="Times New Roman"/>
                <w:sz w:val="24"/>
                <w:szCs w:val="24"/>
              </w:rPr>
              <w:t xml:space="preserve">fewer teacher education programs, as </w:t>
            </w:r>
            <w:r w:rsidR="00E5720B" w:rsidRPr="002A3DDB">
              <w:rPr>
                <w:rFonts w:ascii="Times New Roman" w:hAnsi="Times New Roman" w:cs="Times New Roman"/>
                <w:sz w:val="24"/>
                <w:szCs w:val="24"/>
              </w:rPr>
              <w:t xml:space="preserve">compared to Eastern, the initial </w:t>
            </w:r>
            <w:r w:rsidR="00085443" w:rsidRPr="002A3DDB">
              <w:rPr>
                <w:rFonts w:ascii="Times New Roman" w:hAnsi="Times New Roman" w:cs="Times New Roman"/>
                <w:sz w:val="24"/>
                <w:szCs w:val="24"/>
              </w:rPr>
              <w:t>collaboration will begin between the Early Childhood programs of both EPPs. The purpose of the collaborations is mutually developed to address cultural competence and leadership development (See Spelman and Eastern email correspondences</w:t>
            </w:r>
            <w:r w:rsidR="00FD335C">
              <w:rPr>
                <w:rFonts w:ascii="Times New Roman" w:hAnsi="Times New Roman" w:cs="Times New Roman"/>
                <w:sz w:val="24"/>
                <w:szCs w:val="24"/>
              </w:rPr>
              <w:t xml:space="preserve"> in Appendix J6</w:t>
            </w:r>
            <w:r w:rsidR="00085443" w:rsidRPr="002A3DDB">
              <w:rPr>
                <w:rFonts w:ascii="Times New Roman" w:hAnsi="Times New Roman" w:cs="Times New Roman"/>
                <w:sz w:val="24"/>
                <w:szCs w:val="24"/>
              </w:rPr>
              <w:t>).</w:t>
            </w:r>
          </w:p>
          <w:p w14:paraId="3D12633D" w14:textId="77777777" w:rsidR="00833F2D" w:rsidRPr="002A3DDB" w:rsidRDefault="00833F2D" w:rsidP="002F06A3">
            <w:pPr>
              <w:rPr>
                <w:rFonts w:ascii="Times New Roman" w:hAnsi="Times New Roman" w:cs="Times New Roman"/>
                <w:sz w:val="24"/>
                <w:szCs w:val="24"/>
              </w:rPr>
            </w:pPr>
          </w:p>
          <w:p w14:paraId="467332E0" w14:textId="736B8952" w:rsidR="00663043" w:rsidRPr="002A3DDB" w:rsidRDefault="000E6B41" w:rsidP="000E6B41">
            <w:pPr>
              <w:rPr>
                <w:rFonts w:ascii="Times New Roman" w:hAnsi="Times New Roman" w:cs="Times New Roman"/>
                <w:sz w:val="24"/>
                <w:szCs w:val="24"/>
              </w:rPr>
            </w:pPr>
            <w:r w:rsidRPr="002A3DDB">
              <w:rPr>
                <w:rFonts w:ascii="Times New Roman" w:hAnsi="Times New Roman" w:cs="Times New Roman"/>
                <w:sz w:val="24"/>
                <w:szCs w:val="24"/>
              </w:rPr>
              <w:t>The EPPs program</w:t>
            </w:r>
            <w:r w:rsidR="00B172B8" w:rsidRPr="002A3DDB">
              <w:rPr>
                <w:rFonts w:ascii="Times New Roman" w:hAnsi="Times New Roman" w:cs="Times New Roman"/>
                <w:sz w:val="24"/>
                <w:szCs w:val="24"/>
              </w:rPr>
              <w:t>s also exemplify</w:t>
            </w:r>
            <w:r w:rsidRPr="002A3DDB">
              <w:rPr>
                <w:rFonts w:ascii="Times New Roman" w:hAnsi="Times New Roman" w:cs="Times New Roman"/>
                <w:sz w:val="24"/>
                <w:szCs w:val="24"/>
              </w:rPr>
              <w:t xml:space="preserve"> a commitment to diversity in ways that expand beyond the curriculum of teacher preparation. In essence the footprint of programming </w:t>
            </w:r>
            <w:r w:rsidR="005D0BC1" w:rsidRPr="002A3DDB">
              <w:rPr>
                <w:rFonts w:ascii="Times New Roman" w:hAnsi="Times New Roman" w:cs="Times New Roman"/>
                <w:sz w:val="24"/>
                <w:szCs w:val="24"/>
              </w:rPr>
              <w:t>reaches</w:t>
            </w:r>
            <w:r w:rsidRPr="002A3DDB">
              <w:rPr>
                <w:rFonts w:ascii="Times New Roman" w:hAnsi="Times New Roman" w:cs="Times New Roman"/>
                <w:sz w:val="24"/>
                <w:szCs w:val="24"/>
              </w:rPr>
              <w:t xml:space="preserve"> deep into the Windham region. For example, pre-education and other Eastern students participate in community base activities and service learning that contribute to the wellbeing of the area.  One activity is tutoring of P-12 students in local schools, which is coordinated by the Center for Community Engagement. The Center for Early Childhood Education engages in research based services to benefit the educators and families (See the </w:t>
            </w:r>
            <w:r w:rsidR="00FD335C">
              <w:rPr>
                <w:rFonts w:ascii="Times New Roman" w:hAnsi="Times New Roman" w:cs="Times New Roman"/>
                <w:sz w:val="24"/>
                <w:szCs w:val="24"/>
              </w:rPr>
              <w:t xml:space="preserve">Report on CECE and Staff </w:t>
            </w:r>
            <w:r w:rsidRPr="002A3DDB">
              <w:rPr>
                <w:rFonts w:ascii="Times New Roman" w:hAnsi="Times New Roman" w:cs="Times New Roman"/>
                <w:sz w:val="24"/>
                <w:szCs w:val="24"/>
              </w:rPr>
              <w:t xml:space="preserve">Report </w:t>
            </w:r>
            <w:r w:rsidR="00FD335C">
              <w:rPr>
                <w:rFonts w:ascii="Times New Roman" w:hAnsi="Times New Roman" w:cs="Times New Roman"/>
                <w:sz w:val="24"/>
                <w:szCs w:val="24"/>
              </w:rPr>
              <w:t>in Appendices J1 and J2</w:t>
            </w:r>
            <w:r w:rsidRPr="002A3DDB">
              <w:rPr>
                <w:rFonts w:ascii="Times New Roman" w:hAnsi="Times New Roman" w:cs="Times New Roman"/>
                <w:sz w:val="24"/>
                <w:szCs w:val="24"/>
              </w:rPr>
              <w:t xml:space="preserve">). Additionally, the Child and Family Development Resources Center (CFRDC) serves as a hub for equity. Not only do Eastern students from different majors intern with the center, but families </w:t>
            </w:r>
            <w:r w:rsidR="00720E03" w:rsidRPr="002A3DDB">
              <w:rPr>
                <w:rFonts w:ascii="Times New Roman" w:hAnsi="Times New Roman" w:cs="Times New Roman"/>
                <w:sz w:val="24"/>
                <w:szCs w:val="24"/>
              </w:rPr>
              <w:t>from diverse communities also benefit from its educational services.</w:t>
            </w:r>
            <w:r w:rsidRPr="002A3DDB">
              <w:rPr>
                <w:rFonts w:ascii="Times New Roman" w:hAnsi="Times New Roman" w:cs="Times New Roman"/>
                <w:sz w:val="24"/>
                <w:szCs w:val="24"/>
              </w:rPr>
              <w:t xml:space="preserve"> </w:t>
            </w:r>
          </w:p>
          <w:p w14:paraId="4C739AD5" w14:textId="77777777" w:rsidR="001D4C8B" w:rsidRPr="002A3DDB" w:rsidRDefault="001D4C8B" w:rsidP="000E6B41">
            <w:pPr>
              <w:rPr>
                <w:rFonts w:ascii="Times New Roman" w:hAnsi="Times New Roman" w:cs="Times New Roman"/>
                <w:sz w:val="24"/>
                <w:szCs w:val="24"/>
              </w:rPr>
            </w:pPr>
          </w:p>
          <w:p w14:paraId="767386A1" w14:textId="0A07C6F5" w:rsidR="001D4C8B" w:rsidRPr="002A3DDB" w:rsidRDefault="001D4C8B" w:rsidP="000E6B41">
            <w:pPr>
              <w:rPr>
                <w:rFonts w:ascii="Times New Roman" w:hAnsi="Times New Roman" w:cs="Times New Roman"/>
                <w:sz w:val="24"/>
                <w:szCs w:val="24"/>
              </w:rPr>
            </w:pPr>
            <w:r w:rsidRPr="002A3DDB">
              <w:rPr>
                <w:rFonts w:ascii="Times New Roman" w:hAnsi="Times New Roman" w:cs="Times New Roman"/>
                <w:b/>
                <w:i/>
                <w:sz w:val="24"/>
                <w:szCs w:val="24"/>
              </w:rPr>
              <w:t>Other evidence requested by the BOE Team for validation will be provided during the onsite visit.</w:t>
            </w:r>
          </w:p>
        </w:tc>
      </w:tr>
      <w:tr w:rsidR="00663043" w:rsidRPr="002A3DDB" w14:paraId="1BBCB4FD" w14:textId="77777777" w:rsidTr="003C6A63">
        <w:trPr>
          <w:trHeight w:val="5210"/>
        </w:trPr>
        <w:tc>
          <w:tcPr>
            <w:tcW w:w="1717" w:type="dxa"/>
          </w:tcPr>
          <w:p w14:paraId="3F3FAB76" w14:textId="4E0A42CD" w:rsidR="00663043" w:rsidRPr="002A3DDB" w:rsidRDefault="00663043" w:rsidP="00BB4F8B">
            <w:pPr>
              <w:jc w:val="center"/>
              <w:rPr>
                <w:rFonts w:ascii="Times New Roman" w:hAnsi="Times New Roman" w:cs="Times New Roman"/>
                <w:sz w:val="24"/>
                <w:szCs w:val="24"/>
              </w:rPr>
            </w:pPr>
          </w:p>
          <w:p w14:paraId="08A1A889" w14:textId="77777777" w:rsidR="00BB4F8B" w:rsidRPr="002A3DDB" w:rsidRDefault="00BB4F8B" w:rsidP="00BB4F8B">
            <w:pPr>
              <w:jc w:val="center"/>
              <w:rPr>
                <w:rFonts w:ascii="Times New Roman" w:hAnsi="Times New Roman" w:cs="Times New Roman"/>
                <w:sz w:val="24"/>
                <w:szCs w:val="24"/>
              </w:rPr>
            </w:pPr>
          </w:p>
          <w:p w14:paraId="19F34AEC" w14:textId="77777777" w:rsidR="00BB4F8B" w:rsidRPr="002A3DDB" w:rsidRDefault="00381E48" w:rsidP="00BB4F8B">
            <w:pPr>
              <w:jc w:val="center"/>
              <w:rPr>
                <w:rFonts w:ascii="Times New Roman" w:hAnsi="Times New Roman" w:cs="Times New Roman"/>
                <w:b/>
                <w:sz w:val="24"/>
                <w:szCs w:val="24"/>
              </w:rPr>
            </w:pPr>
            <w:r w:rsidRPr="002A3DDB">
              <w:rPr>
                <w:rFonts w:ascii="Times New Roman" w:hAnsi="Times New Roman" w:cs="Times New Roman"/>
                <w:b/>
                <w:sz w:val="24"/>
                <w:szCs w:val="24"/>
              </w:rPr>
              <w:t xml:space="preserve">Standard </w:t>
            </w:r>
            <w:r w:rsidR="00BB4F8B" w:rsidRPr="002A3DDB">
              <w:rPr>
                <w:rFonts w:ascii="Times New Roman" w:hAnsi="Times New Roman" w:cs="Times New Roman"/>
                <w:b/>
                <w:sz w:val="24"/>
                <w:szCs w:val="24"/>
              </w:rPr>
              <w:t>5</w:t>
            </w:r>
          </w:p>
          <w:p w14:paraId="258E02A6" w14:textId="77777777" w:rsidR="00381E48" w:rsidRPr="002A3DDB" w:rsidRDefault="00381E48" w:rsidP="00BB4F8B">
            <w:pPr>
              <w:jc w:val="center"/>
              <w:rPr>
                <w:rFonts w:ascii="Times New Roman" w:hAnsi="Times New Roman" w:cs="Times New Roman"/>
                <w:b/>
                <w:sz w:val="24"/>
                <w:szCs w:val="24"/>
              </w:rPr>
            </w:pPr>
          </w:p>
          <w:p w14:paraId="3CCB3B01" w14:textId="540855A6" w:rsidR="00381E48" w:rsidRPr="002A3DDB" w:rsidRDefault="00381E48" w:rsidP="00BB4F8B">
            <w:pPr>
              <w:jc w:val="center"/>
              <w:rPr>
                <w:rFonts w:ascii="Times New Roman" w:hAnsi="Times New Roman" w:cs="Times New Roman"/>
                <w:b/>
                <w:sz w:val="24"/>
                <w:szCs w:val="24"/>
              </w:rPr>
            </w:pPr>
            <w:r w:rsidRPr="002A3DDB">
              <w:rPr>
                <w:rFonts w:ascii="Times New Roman" w:hAnsi="Times New Roman" w:cs="Times New Roman"/>
                <w:b/>
                <w:sz w:val="24"/>
                <w:szCs w:val="24"/>
              </w:rPr>
              <w:t>Faculty Qualifications, Performance and Development</w:t>
            </w:r>
          </w:p>
        </w:tc>
        <w:tc>
          <w:tcPr>
            <w:tcW w:w="2110" w:type="dxa"/>
          </w:tcPr>
          <w:p w14:paraId="1CDFB56D" w14:textId="77777777" w:rsidR="00BB4F8B" w:rsidRPr="002A3DDB" w:rsidRDefault="00BB4F8B" w:rsidP="00BB4F8B">
            <w:pPr>
              <w:rPr>
                <w:rFonts w:ascii="Times New Roman" w:hAnsi="Times New Roman" w:cs="Times New Roman"/>
                <w:sz w:val="24"/>
                <w:szCs w:val="24"/>
              </w:rPr>
            </w:pPr>
          </w:p>
          <w:p w14:paraId="02410074" w14:textId="4D3FE5CC" w:rsidR="00381E48" w:rsidRPr="002A3DDB" w:rsidRDefault="00381E48" w:rsidP="00BB4F8B">
            <w:pPr>
              <w:rPr>
                <w:rFonts w:ascii="Times New Roman" w:hAnsi="Times New Roman" w:cs="Times New Roman"/>
                <w:sz w:val="24"/>
                <w:szCs w:val="24"/>
              </w:rPr>
            </w:pPr>
            <w:r w:rsidRPr="002A3DDB">
              <w:rPr>
                <w:rFonts w:ascii="Times New Roman" w:hAnsi="Times New Roman" w:cs="Times New Roman"/>
                <w:sz w:val="24"/>
                <w:szCs w:val="24"/>
              </w:rPr>
              <w:t xml:space="preserve">This standard was found to be </w:t>
            </w:r>
            <w:r w:rsidRPr="002A3DDB">
              <w:rPr>
                <w:rFonts w:ascii="Times New Roman" w:hAnsi="Times New Roman" w:cs="Times New Roman"/>
                <w:b/>
                <w:sz w:val="24"/>
                <w:szCs w:val="24"/>
              </w:rPr>
              <w:t>met</w:t>
            </w:r>
            <w:r w:rsidRPr="002A3DDB">
              <w:rPr>
                <w:rFonts w:ascii="Times New Roman" w:hAnsi="Times New Roman" w:cs="Times New Roman"/>
                <w:sz w:val="24"/>
                <w:szCs w:val="24"/>
              </w:rPr>
              <w:t xml:space="preserve"> in the 2014 review.</w:t>
            </w:r>
          </w:p>
        </w:tc>
        <w:tc>
          <w:tcPr>
            <w:tcW w:w="2318" w:type="dxa"/>
          </w:tcPr>
          <w:p w14:paraId="12BB03D3" w14:textId="77777777" w:rsidR="00663043" w:rsidRPr="002A3DDB" w:rsidRDefault="00663043" w:rsidP="00123962">
            <w:pPr>
              <w:rPr>
                <w:rFonts w:ascii="Times New Roman" w:hAnsi="Times New Roman" w:cs="Times New Roman"/>
                <w:sz w:val="24"/>
                <w:szCs w:val="24"/>
              </w:rPr>
            </w:pPr>
          </w:p>
          <w:p w14:paraId="2B8E6ECA" w14:textId="77777777" w:rsidR="00BB4F8B" w:rsidRPr="002A3DDB" w:rsidRDefault="00BB4F8B" w:rsidP="00123962">
            <w:pPr>
              <w:rPr>
                <w:rFonts w:ascii="Times New Roman" w:hAnsi="Times New Roman" w:cs="Times New Roman"/>
                <w:sz w:val="24"/>
                <w:szCs w:val="24"/>
              </w:rPr>
            </w:pPr>
          </w:p>
          <w:p w14:paraId="123D05E7" w14:textId="77777777" w:rsidR="00BB4F8B" w:rsidRPr="002A3DDB" w:rsidRDefault="00BB4F8B" w:rsidP="00BB4F8B">
            <w:pPr>
              <w:jc w:val="center"/>
              <w:rPr>
                <w:rFonts w:ascii="Times New Roman" w:hAnsi="Times New Roman" w:cs="Times New Roman"/>
                <w:sz w:val="24"/>
                <w:szCs w:val="24"/>
              </w:rPr>
            </w:pPr>
            <w:r w:rsidRPr="002A3DDB">
              <w:rPr>
                <w:rFonts w:ascii="Times New Roman" w:hAnsi="Times New Roman" w:cs="Times New Roman"/>
                <w:sz w:val="24"/>
                <w:szCs w:val="24"/>
              </w:rPr>
              <w:t>None</w:t>
            </w:r>
          </w:p>
        </w:tc>
        <w:tc>
          <w:tcPr>
            <w:tcW w:w="7805" w:type="dxa"/>
          </w:tcPr>
          <w:p w14:paraId="17BF583D" w14:textId="77777777" w:rsidR="006671D1" w:rsidRPr="002A3DDB" w:rsidRDefault="006671D1" w:rsidP="006671D1">
            <w:pPr>
              <w:rPr>
                <w:rFonts w:ascii="Times New Roman" w:hAnsi="Times New Roman" w:cs="Times New Roman"/>
                <w:sz w:val="24"/>
                <w:szCs w:val="24"/>
              </w:rPr>
            </w:pPr>
            <w:r w:rsidRPr="002A3DDB">
              <w:rPr>
                <w:rFonts w:ascii="Times New Roman" w:hAnsi="Times New Roman" w:cs="Times New Roman"/>
                <w:sz w:val="24"/>
                <w:szCs w:val="24"/>
              </w:rPr>
              <w:t>Eastern’s full-time EPP faculty hold doctorates in their cognate area and have demonstrated professional experiences in school settings that align with their certification area and the levels that they supervise.  Please refer to exhibit submitted with the IR on faculty qualifications.  Additionally, faculty are meaningfully engaged in scholarship and creative activities that involve active research and professional development.  Please refer to exhibits submitted with the IR.  Faculty will be available to discuss their work during the visit.  Some of our faculty’s research and involvement with candidates are documented at the Center for Early Childhood Education website (</w:t>
            </w:r>
            <w:hyperlink r:id="rId8" w:history="1">
              <w:r w:rsidRPr="002A3DDB">
                <w:rPr>
                  <w:rStyle w:val="Hyperlink"/>
                  <w:rFonts w:ascii="Times New Roman" w:hAnsi="Times New Roman" w:cs="Times New Roman"/>
                  <w:sz w:val="24"/>
                  <w:szCs w:val="24"/>
                </w:rPr>
                <w:t>www.easternct.edu/cece</w:t>
              </w:r>
            </w:hyperlink>
            <w:r w:rsidRPr="002A3DDB">
              <w:rPr>
                <w:rFonts w:ascii="Times New Roman" w:hAnsi="Times New Roman" w:cs="Times New Roman"/>
                <w:sz w:val="24"/>
                <w:szCs w:val="24"/>
              </w:rPr>
              <w:t>).  All clinical faculty (both university supervisors and cooperating teachers) are licensed in the field that they teach and/or supervise and are recognized as master teachers by their school district and by the state.</w:t>
            </w:r>
          </w:p>
          <w:p w14:paraId="4157D035" w14:textId="77777777" w:rsidR="006671D1" w:rsidRPr="002A3DDB" w:rsidRDefault="006671D1" w:rsidP="006671D1">
            <w:pPr>
              <w:rPr>
                <w:rFonts w:ascii="Times New Roman" w:hAnsi="Times New Roman" w:cs="Times New Roman"/>
                <w:sz w:val="24"/>
                <w:szCs w:val="24"/>
              </w:rPr>
            </w:pPr>
          </w:p>
          <w:p w14:paraId="4D2F042F" w14:textId="02083B39" w:rsidR="00D9098D" w:rsidRPr="002A3DDB" w:rsidRDefault="006671D1" w:rsidP="006671D1">
            <w:pPr>
              <w:rPr>
                <w:rFonts w:ascii="Times New Roman" w:hAnsi="Times New Roman" w:cs="Times New Roman"/>
                <w:sz w:val="24"/>
                <w:szCs w:val="24"/>
              </w:rPr>
            </w:pPr>
            <w:r w:rsidRPr="002A3DDB">
              <w:rPr>
                <w:rFonts w:ascii="Times New Roman" w:hAnsi="Times New Roman" w:cs="Times New Roman"/>
                <w:sz w:val="24"/>
                <w:szCs w:val="24"/>
              </w:rPr>
              <w:t>Our faculty stay current in their field and demonstrate best practices in their own teaching, as evidence</w:t>
            </w:r>
            <w:r w:rsidR="003C6A63" w:rsidRPr="002A3DDB">
              <w:rPr>
                <w:rFonts w:ascii="Times New Roman" w:hAnsi="Times New Roman" w:cs="Times New Roman"/>
                <w:sz w:val="24"/>
                <w:szCs w:val="24"/>
              </w:rPr>
              <w:t>d</w:t>
            </w:r>
            <w:r w:rsidRPr="002A3DDB">
              <w:rPr>
                <w:rFonts w:ascii="Times New Roman" w:hAnsi="Times New Roman" w:cs="Times New Roman"/>
                <w:sz w:val="24"/>
                <w:szCs w:val="24"/>
              </w:rPr>
              <w:t xml:space="preserve"> by the sample syllabi submitted in the appendices.  Faculty have been recognized by the university for their excellence in teaching and have received other distinguished awards.  </w:t>
            </w:r>
            <w:r w:rsidR="005B04E6" w:rsidRPr="002A3DDB">
              <w:rPr>
                <w:rFonts w:ascii="Times New Roman" w:hAnsi="Times New Roman" w:cs="Times New Roman"/>
                <w:sz w:val="24"/>
                <w:szCs w:val="24"/>
              </w:rPr>
              <w:t>All courses i</w:t>
            </w:r>
            <w:r w:rsidR="003C6A63" w:rsidRPr="002A3DDB">
              <w:rPr>
                <w:rFonts w:ascii="Times New Roman" w:hAnsi="Times New Roman" w:cs="Times New Roman"/>
                <w:sz w:val="24"/>
                <w:szCs w:val="24"/>
              </w:rPr>
              <w:t>n the certification programs are</w:t>
            </w:r>
            <w:r w:rsidR="005B04E6" w:rsidRPr="002A3DDB">
              <w:rPr>
                <w:rFonts w:ascii="Times New Roman" w:hAnsi="Times New Roman" w:cs="Times New Roman"/>
                <w:sz w:val="24"/>
                <w:szCs w:val="24"/>
              </w:rPr>
              <w:t xml:space="preserve"> carefully aligned with the learning outcomes and proficiencies as outlined in professional, state and institutional standards (see sample syllabi</w:t>
            </w:r>
            <w:r w:rsidR="00AF6475">
              <w:rPr>
                <w:rFonts w:ascii="Times New Roman" w:hAnsi="Times New Roman" w:cs="Times New Roman"/>
                <w:sz w:val="24"/>
                <w:szCs w:val="24"/>
              </w:rPr>
              <w:t xml:space="preserve"> in Appendices B1 and B2</w:t>
            </w:r>
            <w:r w:rsidR="005B04E6" w:rsidRPr="002A3DDB">
              <w:rPr>
                <w:rFonts w:ascii="Times New Roman" w:hAnsi="Times New Roman" w:cs="Times New Roman"/>
                <w:sz w:val="24"/>
                <w:szCs w:val="24"/>
              </w:rPr>
              <w:t xml:space="preserve">).  They include assessments and scoring rubrics that outline the expectations clearly for candidates.  Diversity is integrated in all programs, specifically through select courses (see appendix </w:t>
            </w:r>
            <w:r w:rsidR="00AF6475">
              <w:rPr>
                <w:rFonts w:ascii="Times New Roman" w:hAnsi="Times New Roman" w:cs="Times New Roman"/>
                <w:sz w:val="24"/>
                <w:szCs w:val="24"/>
              </w:rPr>
              <w:t xml:space="preserve">B3 </w:t>
            </w:r>
            <w:r w:rsidR="005B04E6" w:rsidRPr="002A3DDB">
              <w:rPr>
                <w:rFonts w:ascii="Times New Roman" w:hAnsi="Times New Roman" w:cs="Times New Roman"/>
                <w:sz w:val="24"/>
                <w:szCs w:val="24"/>
              </w:rPr>
              <w:t xml:space="preserve">for a list of these courses), and candidates are expected to demonstrate their competency in the key assessments, including the student teaching evaluation (see disaggregated data provided in </w:t>
            </w:r>
            <w:r w:rsidR="00AF6475">
              <w:rPr>
                <w:rFonts w:ascii="Times New Roman" w:hAnsi="Times New Roman" w:cs="Times New Roman"/>
                <w:sz w:val="24"/>
                <w:szCs w:val="24"/>
              </w:rPr>
              <w:t>appendices E2-E8</w:t>
            </w:r>
            <w:r w:rsidR="005B04E6" w:rsidRPr="002A3DDB">
              <w:rPr>
                <w:rFonts w:ascii="Times New Roman" w:hAnsi="Times New Roman" w:cs="Times New Roman"/>
                <w:sz w:val="24"/>
                <w:szCs w:val="24"/>
              </w:rPr>
              <w:t xml:space="preserve">).  </w:t>
            </w:r>
            <w:r w:rsidR="00D9098D" w:rsidRPr="002A3DDB">
              <w:rPr>
                <w:rFonts w:ascii="Times New Roman" w:hAnsi="Times New Roman" w:cs="Times New Roman"/>
                <w:sz w:val="24"/>
                <w:szCs w:val="24"/>
              </w:rPr>
              <w:t>Technology is integrated in all programs through integrated coursework. EPP faculty use course evaluations and their own ongoing professional development as metrics to measure, enhance and improve their teaching effectiveness.</w:t>
            </w:r>
          </w:p>
          <w:p w14:paraId="2F5C8EFC" w14:textId="77777777" w:rsidR="00D9098D" w:rsidRPr="002A3DDB" w:rsidRDefault="00D9098D" w:rsidP="006671D1">
            <w:pPr>
              <w:rPr>
                <w:rFonts w:ascii="Times New Roman" w:hAnsi="Times New Roman" w:cs="Times New Roman"/>
                <w:sz w:val="24"/>
                <w:szCs w:val="24"/>
              </w:rPr>
            </w:pPr>
          </w:p>
          <w:p w14:paraId="0607917B" w14:textId="77777777" w:rsidR="006671D1" w:rsidRPr="002A3DDB" w:rsidRDefault="00D9098D" w:rsidP="006671D1">
            <w:pPr>
              <w:rPr>
                <w:rFonts w:ascii="Times New Roman" w:hAnsi="Times New Roman" w:cs="Times New Roman"/>
                <w:sz w:val="24"/>
                <w:szCs w:val="24"/>
              </w:rPr>
            </w:pPr>
            <w:r w:rsidRPr="002A3DDB">
              <w:rPr>
                <w:rFonts w:ascii="Times New Roman" w:hAnsi="Times New Roman" w:cs="Times New Roman"/>
                <w:sz w:val="24"/>
                <w:szCs w:val="24"/>
              </w:rPr>
              <w:t>All EPP faculty engage in scholarship within their field of study. Many collaborate with colleagues to engage in active inquiry related to their own teaching and cognate area.  Please see exhibit submitted with IR related to faculty scholarship.</w:t>
            </w:r>
            <w:r w:rsidR="005B04E6" w:rsidRPr="002A3DDB">
              <w:rPr>
                <w:rFonts w:ascii="Times New Roman" w:hAnsi="Times New Roman" w:cs="Times New Roman"/>
                <w:sz w:val="24"/>
                <w:szCs w:val="24"/>
              </w:rPr>
              <w:t xml:space="preserve"> </w:t>
            </w:r>
          </w:p>
          <w:p w14:paraId="6B64CAD0" w14:textId="77777777" w:rsidR="00D9098D" w:rsidRPr="002A3DDB" w:rsidRDefault="00D9098D" w:rsidP="006671D1">
            <w:pPr>
              <w:rPr>
                <w:rFonts w:ascii="Times New Roman" w:hAnsi="Times New Roman" w:cs="Times New Roman"/>
                <w:sz w:val="24"/>
                <w:szCs w:val="24"/>
              </w:rPr>
            </w:pPr>
          </w:p>
          <w:p w14:paraId="2E2A22EC" w14:textId="77777777" w:rsidR="00D9098D" w:rsidRPr="002A3DDB" w:rsidRDefault="00D9098D" w:rsidP="00D9098D">
            <w:pPr>
              <w:rPr>
                <w:rFonts w:ascii="Times New Roman" w:hAnsi="Times New Roman" w:cs="Times New Roman"/>
                <w:sz w:val="24"/>
                <w:szCs w:val="24"/>
              </w:rPr>
            </w:pPr>
            <w:r w:rsidRPr="002A3DDB">
              <w:rPr>
                <w:rFonts w:ascii="Times New Roman" w:hAnsi="Times New Roman" w:cs="Times New Roman"/>
                <w:sz w:val="24"/>
                <w:szCs w:val="24"/>
              </w:rPr>
              <w:t>EPP faculty are actively engaged in service to their department, university and the larger community.  Please see exhibit submitted with the IR.  Several faculty are engaged with P-12 faculty offering professional development and other education-related services.  More examples will be shared during the visit.</w:t>
            </w:r>
          </w:p>
          <w:p w14:paraId="5722DE12" w14:textId="77777777" w:rsidR="00D9098D" w:rsidRPr="002A3DDB" w:rsidRDefault="00D9098D" w:rsidP="00D9098D">
            <w:pPr>
              <w:rPr>
                <w:rFonts w:ascii="Times New Roman" w:hAnsi="Times New Roman" w:cs="Times New Roman"/>
                <w:sz w:val="24"/>
                <w:szCs w:val="24"/>
              </w:rPr>
            </w:pPr>
          </w:p>
          <w:p w14:paraId="2BA262A8" w14:textId="77777777" w:rsidR="002E3F82" w:rsidRPr="002A3DDB" w:rsidRDefault="00D9098D" w:rsidP="00D9098D">
            <w:pPr>
              <w:rPr>
                <w:rFonts w:ascii="Times New Roman" w:hAnsi="Times New Roman" w:cs="Times New Roman"/>
                <w:sz w:val="24"/>
                <w:szCs w:val="24"/>
              </w:rPr>
            </w:pPr>
            <w:r w:rsidRPr="002A3DDB">
              <w:rPr>
                <w:rFonts w:ascii="Times New Roman" w:hAnsi="Times New Roman" w:cs="Times New Roman"/>
                <w:sz w:val="24"/>
                <w:szCs w:val="24"/>
              </w:rPr>
              <w:t xml:space="preserve">EPP faculty are continually evaluated as per the union contract in 4 categories of teaching, creative activity, service and professional activity.  </w:t>
            </w:r>
          </w:p>
          <w:p w14:paraId="5B770DD3" w14:textId="77777777" w:rsidR="002E3F82" w:rsidRPr="002A3DDB" w:rsidRDefault="002E3F82" w:rsidP="00D9098D">
            <w:pPr>
              <w:rPr>
                <w:rFonts w:ascii="Times New Roman" w:hAnsi="Times New Roman" w:cs="Times New Roman"/>
                <w:sz w:val="24"/>
                <w:szCs w:val="24"/>
              </w:rPr>
            </w:pPr>
          </w:p>
          <w:p w14:paraId="275F9CBA" w14:textId="77777777" w:rsidR="00D9098D" w:rsidRPr="002A3DDB" w:rsidRDefault="002E3F82" w:rsidP="00DD7D74">
            <w:pPr>
              <w:rPr>
                <w:rFonts w:ascii="Times New Roman" w:hAnsi="Times New Roman" w:cs="Times New Roman"/>
                <w:sz w:val="24"/>
                <w:szCs w:val="24"/>
              </w:rPr>
            </w:pPr>
            <w:r w:rsidRPr="002A3DDB">
              <w:rPr>
                <w:rFonts w:ascii="Times New Roman" w:hAnsi="Times New Roman" w:cs="Times New Roman"/>
                <w:sz w:val="24"/>
                <w:szCs w:val="24"/>
              </w:rPr>
              <w:t xml:space="preserve">EPP faculty, especially new faculty, are supported to pursue scholarship through funding for conference presentations and attendance, </w:t>
            </w:r>
            <w:r w:rsidR="00DD7D74" w:rsidRPr="002A3DDB">
              <w:rPr>
                <w:rFonts w:ascii="Times New Roman" w:hAnsi="Times New Roman" w:cs="Times New Roman"/>
                <w:sz w:val="24"/>
                <w:szCs w:val="24"/>
              </w:rPr>
              <w:t xml:space="preserve">reassigned research time and periodic sabbatical leave. </w:t>
            </w:r>
          </w:p>
          <w:p w14:paraId="1A0C4857" w14:textId="77777777" w:rsidR="00381E48" w:rsidRPr="002A3DDB" w:rsidRDefault="00381E48" w:rsidP="00DD7D74">
            <w:pPr>
              <w:rPr>
                <w:rFonts w:ascii="Times New Roman" w:hAnsi="Times New Roman" w:cs="Times New Roman"/>
                <w:sz w:val="24"/>
                <w:szCs w:val="24"/>
              </w:rPr>
            </w:pPr>
          </w:p>
          <w:p w14:paraId="4A1827D3" w14:textId="643FF0FE" w:rsidR="00381E48" w:rsidRPr="002A3DDB" w:rsidRDefault="00381E48" w:rsidP="00DD7D74">
            <w:pPr>
              <w:rPr>
                <w:rFonts w:ascii="Times New Roman" w:hAnsi="Times New Roman" w:cs="Times New Roman"/>
                <w:sz w:val="24"/>
                <w:szCs w:val="24"/>
              </w:rPr>
            </w:pPr>
            <w:r w:rsidRPr="002A3DDB">
              <w:rPr>
                <w:rFonts w:ascii="Times New Roman" w:hAnsi="Times New Roman" w:cs="Times New Roman"/>
                <w:b/>
                <w:i/>
                <w:sz w:val="24"/>
                <w:szCs w:val="24"/>
              </w:rPr>
              <w:t>Other evidence requested by the BOE Team for validation will be provided during the onsite visit.</w:t>
            </w:r>
          </w:p>
        </w:tc>
      </w:tr>
      <w:tr w:rsidR="00EC0496" w:rsidRPr="002A3DDB" w14:paraId="4CBD5491" w14:textId="77777777" w:rsidTr="007A596D">
        <w:trPr>
          <w:trHeight w:val="3950"/>
        </w:trPr>
        <w:tc>
          <w:tcPr>
            <w:tcW w:w="1717" w:type="dxa"/>
            <w:vMerge w:val="restart"/>
          </w:tcPr>
          <w:p w14:paraId="31781C49" w14:textId="218A7122" w:rsidR="00EC0496" w:rsidRPr="002A3DDB" w:rsidRDefault="00EC0496" w:rsidP="00123962">
            <w:pPr>
              <w:rPr>
                <w:rFonts w:ascii="Times New Roman" w:hAnsi="Times New Roman" w:cs="Times New Roman"/>
                <w:sz w:val="24"/>
                <w:szCs w:val="24"/>
              </w:rPr>
            </w:pPr>
          </w:p>
          <w:p w14:paraId="67E1F635" w14:textId="77777777" w:rsidR="00EC0496" w:rsidRPr="002A3DDB" w:rsidRDefault="00EC0496" w:rsidP="00123962">
            <w:pPr>
              <w:rPr>
                <w:rFonts w:ascii="Times New Roman" w:hAnsi="Times New Roman" w:cs="Times New Roman"/>
                <w:sz w:val="24"/>
                <w:szCs w:val="24"/>
              </w:rPr>
            </w:pPr>
          </w:p>
          <w:p w14:paraId="0986AFFB" w14:textId="77777777" w:rsidR="00EC0496" w:rsidRPr="002A3DDB" w:rsidRDefault="00381E48" w:rsidP="00EC0496">
            <w:pPr>
              <w:jc w:val="center"/>
              <w:rPr>
                <w:rFonts w:ascii="Times New Roman" w:hAnsi="Times New Roman" w:cs="Times New Roman"/>
                <w:b/>
                <w:sz w:val="24"/>
                <w:szCs w:val="24"/>
              </w:rPr>
            </w:pPr>
            <w:r w:rsidRPr="002A3DDB">
              <w:rPr>
                <w:rFonts w:ascii="Times New Roman" w:hAnsi="Times New Roman" w:cs="Times New Roman"/>
                <w:b/>
                <w:sz w:val="24"/>
                <w:szCs w:val="24"/>
              </w:rPr>
              <w:t xml:space="preserve">Standard </w:t>
            </w:r>
            <w:r w:rsidR="00EC0496" w:rsidRPr="002A3DDB">
              <w:rPr>
                <w:rFonts w:ascii="Times New Roman" w:hAnsi="Times New Roman" w:cs="Times New Roman"/>
                <w:b/>
                <w:sz w:val="24"/>
                <w:szCs w:val="24"/>
              </w:rPr>
              <w:t>6</w:t>
            </w:r>
          </w:p>
          <w:p w14:paraId="0F19ED41" w14:textId="77777777" w:rsidR="00381E48" w:rsidRPr="002A3DDB" w:rsidRDefault="00381E48" w:rsidP="00EC0496">
            <w:pPr>
              <w:jc w:val="center"/>
              <w:rPr>
                <w:rFonts w:ascii="Times New Roman" w:hAnsi="Times New Roman" w:cs="Times New Roman"/>
                <w:b/>
                <w:sz w:val="24"/>
                <w:szCs w:val="24"/>
              </w:rPr>
            </w:pPr>
          </w:p>
          <w:p w14:paraId="62AF395A" w14:textId="19880393" w:rsidR="00381E48" w:rsidRPr="002A3DDB" w:rsidRDefault="00381E48" w:rsidP="00EC0496">
            <w:pPr>
              <w:jc w:val="center"/>
              <w:rPr>
                <w:rFonts w:ascii="Times New Roman" w:hAnsi="Times New Roman" w:cs="Times New Roman"/>
                <w:b/>
                <w:sz w:val="24"/>
                <w:szCs w:val="24"/>
              </w:rPr>
            </w:pPr>
            <w:r w:rsidRPr="002A3DDB">
              <w:rPr>
                <w:rFonts w:ascii="Times New Roman" w:hAnsi="Times New Roman" w:cs="Times New Roman"/>
                <w:b/>
                <w:sz w:val="24"/>
                <w:szCs w:val="24"/>
              </w:rPr>
              <w:t>Unit Governance and Resources</w:t>
            </w:r>
          </w:p>
        </w:tc>
        <w:tc>
          <w:tcPr>
            <w:tcW w:w="2110" w:type="dxa"/>
            <w:vMerge w:val="restart"/>
          </w:tcPr>
          <w:p w14:paraId="11FDCFEF" w14:textId="77777777" w:rsidR="00EC0496" w:rsidRPr="002A3DDB" w:rsidRDefault="00EC0496" w:rsidP="00123962">
            <w:pPr>
              <w:rPr>
                <w:rFonts w:ascii="Times New Roman" w:hAnsi="Times New Roman" w:cs="Times New Roman"/>
                <w:sz w:val="24"/>
                <w:szCs w:val="24"/>
              </w:rPr>
            </w:pPr>
          </w:p>
          <w:p w14:paraId="06549279" w14:textId="511EB9C6" w:rsidR="00381E48" w:rsidRPr="002A3DDB" w:rsidRDefault="00381E48" w:rsidP="00123962">
            <w:pPr>
              <w:rPr>
                <w:rFonts w:ascii="Times New Roman" w:hAnsi="Times New Roman" w:cs="Times New Roman"/>
                <w:sz w:val="24"/>
                <w:szCs w:val="24"/>
              </w:rPr>
            </w:pPr>
            <w:r w:rsidRPr="002A3DDB">
              <w:rPr>
                <w:rFonts w:ascii="Times New Roman" w:hAnsi="Times New Roman" w:cs="Times New Roman"/>
                <w:sz w:val="24"/>
                <w:szCs w:val="24"/>
              </w:rPr>
              <w:t>This Standard was found to be unmet in the 2014 review.</w:t>
            </w:r>
          </w:p>
        </w:tc>
        <w:tc>
          <w:tcPr>
            <w:tcW w:w="2318" w:type="dxa"/>
          </w:tcPr>
          <w:p w14:paraId="7583D012" w14:textId="77777777" w:rsidR="007C6A1C" w:rsidRPr="002A3DDB" w:rsidRDefault="007C6A1C" w:rsidP="00EC0496">
            <w:pPr>
              <w:pStyle w:val="Default"/>
              <w:rPr>
                <w:color w:val="auto"/>
              </w:rPr>
            </w:pPr>
          </w:p>
          <w:p w14:paraId="5CD23182" w14:textId="77777777" w:rsidR="00EC0496" w:rsidRPr="002A3DDB" w:rsidRDefault="00EC0496" w:rsidP="00EC0496">
            <w:pPr>
              <w:pStyle w:val="Default"/>
              <w:rPr>
                <w:color w:val="auto"/>
              </w:rPr>
            </w:pPr>
            <w:r w:rsidRPr="002A3DDB">
              <w:rPr>
                <w:color w:val="auto"/>
              </w:rPr>
              <w:t xml:space="preserve">1. The unit’s governance structure does not allow the unit to manage and coordinate the secondary education programs with the content fields and their faculties. </w:t>
            </w:r>
          </w:p>
          <w:p w14:paraId="06C22285" w14:textId="77777777" w:rsidR="00EC0496" w:rsidRPr="002A3DDB" w:rsidRDefault="00EC0496" w:rsidP="00123962">
            <w:pPr>
              <w:rPr>
                <w:rFonts w:ascii="Times New Roman" w:hAnsi="Times New Roman" w:cs="Times New Roman"/>
                <w:sz w:val="24"/>
                <w:szCs w:val="24"/>
              </w:rPr>
            </w:pPr>
          </w:p>
        </w:tc>
        <w:tc>
          <w:tcPr>
            <w:tcW w:w="7805" w:type="dxa"/>
          </w:tcPr>
          <w:p w14:paraId="27B941D9" w14:textId="1C97521B" w:rsidR="000655F6" w:rsidRPr="002A3DDB" w:rsidRDefault="000655F6" w:rsidP="000655F6">
            <w:pPr>
              <w:rPr>
                <w:rFonts w:ascii="Times New Roman" w:hAnsi="Times New Roman" w:cs="Times New Roman"/>
                <w:sz w:val="24"/>
                <w:szCs w:val="24"/>
              </w:rPr>
            </w:pPr>
            <w:r w:rsidRPr="002A3DDB">
              <w:rPr>
                <w:rFonts w:ascii="Times New Roman" w:hAnsi="Times New Roman" w:cs="Times New Roman"/>
                <w:sz w:val="24"/>
                <w:szCs w:val="24"/>
              </w:rPr>
              <w:t>The EPP</w:t>
            </w:r>
            <w:r w:rsidR="00966716" w:rsidRPr="002A3DDB">
              <w:rPr>
                <w:rFonts w:ascii="Times New Roman" w:hAnsi="Times New Roman" w:cs="Times New Roman"/>
                <w:sz w:val="24"/>
                <w:szCs w:val="24"/>
              </w:rPr>
              <w:t>’</w:t>
            </w:r>
            <w:r w:rsidRPr="002A3DDB">
              <w:rPr>
                <w:rFonts w:ascii="Times New Roman" w:hAnsi="Times New Roman" w:cs="Times New Roman"/>
                <w:sz w:val="24"/>
                <w:szCs w:val="24"/>
              </w:rPr>
              <w:t>s operations are constructed largely on the merits of collaboration among faculty, staff, and community. The AAUP cont</w:t>
            </w:r>
            <w:r w:rsidR="00966716" w:rsidRPr="002A3DDB">
              <w:rPr>
                <w:rFonts w:ascii="Times New Roman" w:hAnsi="Times New Roman" w:cs="Times New Roman"/>
                <w:sz w:val="24"/>
                <w:szCs w:val="24"/>
              </w:rPr>
              <w:t>r</w:t>
            </w:r>
            <w:r w:rsidRPr="002A3DDB">
              <w:rPr>
                <w:rFonts w:ascii="Times New Roman" w:hAnsi="Times New Roman" w:cs="Times New Roman"/>
                <w:sz w:val="24"/>
                <w:szCs w:val="24"/>
              </w:rPr>
              <w:t xml:space="preserve">act lays out certain rules for governance at the departmental level for faculty credit load allocations for the Chair and the construction of by-laws (see </w:t>
            </w:r>
            <w:r w:rsidR="00381E48" w:rsidRPr="002A3DDB">
              <w:rPr>
                <w:rFonts w:ascii="Times New Roman" w:hAnsi="Times New Roman" w:cs="Times New Roman"/>
                <w:sz w:val="24"/>
                <w:szCs w:val="24"/>
              </w:rPr>
              <w:t xml:space="preserve">previously submitted </w:t>
            </w:r>
            <w:r w:rsidRPr="002A3DDB">
              <w:rPr>
                <w:rFonts w:ascii="Times New Roman" w:hAnsi="Times New Roman" w:cs="Times New Roman"/>
                <w:sz w:val="24"/>
                <w:szCs w:val="24"/>
              </w:rPr>
              <w:t>departmental by-laws). However, the EPP consists of core faculty members across two departments: Education and Kinesiology and Physical Education.</w:t>
            </w:r>
          </w:p>
          <w:p w14:paraId="091FDC21" w14:textId="77777777" w:rsidR="000655F6" w:rsidRPr="002A3DDB" w:rsidRDefault="000655F6" w:rsidP="000655F6">
            <w:pPr>
              <w:rPr>
                <w:rFonts w:ascii="Times New Roman" w:hAnsi="Times New Roman" w:cs="Times New Roman"/>
                <w:sz w:val="24"/>
                <w:szCs w:val="24"/>
              </w:rPr>
            </w:pPr>
          </w:p>
          <w:p w14:paraId="264C9D9B" w14:textId="3D6238DA" w:rsidR="000655F6" w:rsidRPr="002A3DDB" w:rsidRDefault="000655F6" w:rsidP="000655F6">
            <w:pPr>
              <w:rPr>
                <w:rFonts w:ascii="Times New Roman" w:hAnsi="Times New Roman" w:cs="Times New Roman"/>
                <w:sz w:val="24"/>
                <w:szCs w:val="24"/>
              </w:rPr>
            </w:pPr>
            <w:r w:rsidRPr="002A3DDB">
              <w:rPr>
                <w:rFonts w:ascii="Times New Roman" w:hAnsi="Times New Roman" w:cs="Times New Roman"/>
                <w:sz w:val="24"/>
                <w:szCs w:val="24"/>
              </w:rPr>
              <w:t>EPP faculty participate on various committees. These support the aforementioned UAS and other operations of the unit. Each committee has its unique role for which assessment operations are implemented seamlessly (See documentation on committee responsibilities</w:t>
            </w:r>
            <w:r w:rsidR="00381E48" w:rsidRPr="002A3DDB">
              <w:rPr>
                <w:rFonts w:ascii="Times New Roman" w:hAnsi="Times New Roman" w:cs="Times New Roman"/>
                <w:sz w:val="24"/>
                <w:szCs w:val="24"/>
              </w:rPr>
              <w:t xml:space="preserve"> in </w:t>
            </w:r>
            <w:r w:rsidR="0083656C">
              <w:rPr>
                <w:rFonts w:ascii="Times New Roman" w:hAnsi="Times New Roman" w:cs="Times New Roman"/>
                <w:sz w:val="24"/>
                <w:szCs w:val="24"/>
              </w:rPr>
              <w:t>Appendix F8).  Starting Academic Year 2016-2017, the EPP has determined that Assessment meetings would be held once a month on the second Thursdays (see minutes and agenda in Appendices 3 and 6, with minutes provided at onsite visit) and Accreditation meetings held once a month on the fourth Thursdays (see minutes and agenda in Appendices 4 and 6, with minutes provided at onsite visit).  These periodic monthly meetings related to Assessment and Accreditation</w:t>
            </w:r>
            <w:r w:rsidR="008368AA">
              <w:rPr>
                <w:rFonts w:ascii="Times New Roman" w:hAnsi="Times New Roman" w:cs="Times New Roman"/>
                <w:sz w:val="24"/>
                <w:szCs w:val="24"/>
              </w:rPr>
              <w:t xml:space="preserve"> have helped streamline the UAS and to receive/give timely feedback and to make programmatic improvements.</w:t>
            </w:r>
          </w:p>
          <w:p w14:paraId="6446FEF3" w14:textId="77777777" w:rsidR="000655F6" w:rsidRPr="002A3DDB" w:rsidRDefault="000655F6" w:rsidP="000655F6">
            <w:pPr>
              <w:rPr>
                <w:rFonts w:ascii="Times New Roman" w:hAnsi="Times New Roman" w:cs="Times New Roman"/>
                <w:sz w:val="24"/>
                <w:szCs w:val="24"/>
              </w:rPr>
            </w:pPr>
            <w:r w:rsidRPr="002A3DDB">
              <w:rPr>
                <w:rFonts w:ascii="Times New Roman" w:hAnsi="Times New Roman" w:cs="Times New Roman"/>
                <w:sz w:val="24"/>
                <w:szCs w:val="24"/>
              </w:rPr>
              <w:t xml:space="preserve">  </w:t>
            </w:r>
          </w:p>
          <w:p w14:paraId="76ACAD79" w14:textId="276EFC28" w:rsidR="008573A9" w:rsidRPr="002A3DDB" w:rsidRDefault="008573A9" w:rsidP="008573A9">
            <w:pPr>
              <w:rPr>
                <w:rFonts w:ascii="Times New Roman" w:hAnsi="Times New Roman" w:cs="Times New Roman"/>
                <w:sz w:val="24"/>
                <w:szCs w:val="24"/>
              </w:rPr>
            </w:pPr>
            <w:r w:rsidRPr="002A3DDB">
              <w:rPr>
                <w:rFonts w:ascii="Times New Roman" w:hAnsi="Times New Roman" w:cs="Times New Roman"/>
                <w:sz w:val="24"/>
                <w:szCs w:val="24"/>
              </w:rPr>
              <w:t xml:space="preserve">Data for the EPP are collected, analyzed, and used for decision making to ensure sound procedures and content for the advancement of candidates’ knowledge, skills, and professional disposition, as well as program operations </w:t>
            </w:r>
            <w:r w:rsidR="00520CA1" w:rsidRPr="002A3DDB">
              <w:rPr>
                <w:rFonts w:ascii="Times New Roman" w:hAnsi="Times New Roman" w:cs="Times New Roman"/>
                <w:sz w:val="24"/>
                <w:szCs w:val="24"/>
              </w:rPr>
              <w:t xml:space="preserve">supported by community input.  </w:t>
            </w:r>
            <w:r w:rsidRPr="002A3DDB">
              <w:rPr>
                <w:rFonts w:ascii="Times New Roman" w:hAnsi="Times New Roman" w:cs="Times New Roman"/>
                <w:sz w:val="24"/>
                <w:szCs w:val="24"/>
              </w:rPr>
              <w:t>Data are collect</w:t>
            </w:r>
            <w:r w:rsidR="00520CA1" w:rsidRPr="002A3DDB">
              <w:rPr>
                <w:rFonts w:ascii="Times New Roman" w:hAnsi="Times New Roman" w:cs="Times New Roman"/>
                <w:sz w:val="24"/>
                <w:szCs w:val="24"/>
              </w:rPr>
              <w:t>ed at three critical transition</w:t>
            </w:r>
            <w:r w:rsidRPr="002A3DDB">
              <w:rPr>
                <w:rFonts w:ascii="Times New Roman" w:hAnsi="Times New Roman" w:cs="Times New Roman"/>
                <w:sz w:val="24"/>
                <w:szCs w:val="24"/>
              </w:rPr>
              <w:t xml:space="preserve"> points: Program admission, mid-point (which includes early clinical experiences and entry into student teaching), and exit (leading up to licensure). The EPP currently assesses program alumni via graduate and employer surveys. (see </w:t>
            </w:r>
            <w:r w:rsidR="00EB016F" w:rsidRPr="002A3DDB">
              <w:rPr>
                <w:rFonts w:ascii="Times New Roman" w:hAnsi="Times New Roman" w:cs="Times New Roman"/>
                <w:sz w:val="24"/>
                <w:szCs w:val="24"/>
              </w:rPr>
              <w:t xml:space="preserve">previously submitted </w:t>
            </w:r>
            <w:r w:rsidRPr="002A3DDB">
              <w:rPr>
                <w:rFonts w:ascii="Times New Roman" w:hAnsi="Times New Roman" w:cs="Times New Roman"/>
                <w:sz w:val="24"/>
                <w:szCs w:val="24"/>
              </w:rPr>
              <w:t xml:space="preserve">UAS Transition Points). </w:t>
            </w:r>
          </w:p>
          <w:p w14:paraId="12AFA099" w14:textId="77777777" w:rsidR="000655F6" w:rsidRPr="002A3DDB" w:rsidRDefault="000655F6" w:rsidP="000655F6">
            <w:pPr>
              <w:rPr>
                <w:rFonts w:ascii="Times New Roman" w:hAnsi="Times New Roman" w:cs="Times New Roman"/>
                <w:sz w:val="24"/>
                <w:szCs w:val="24"/>
              </w:rPr>
            </w:pPr>
          </w:p>
          <w:p w14:paraId="60B2F712" w14:textId="188AA6F8" w:rsidR="00EC0496" w:rsidRPr="002A3DDB" w:rsidRDefault="00520CA1" w:rsidP="00520CA1">
            <w:pPr>
              <w:rPr>
                <w:rFonts w:ascii="Times New Roman" w:hAnsi="Times New Roman" w:cs="Times New Roman"/>
                <w:sz w:val="24"/>
                <w:szCs w:val="24"/>
              </w:rPr>
            </w:pPr>
            <w:r w:rsidRPr="002A3DDB">
              <w:rPr>
                <w:rFonts w:ascii="Times New Roman" w:hAnsi="Times New Roman" w:cs="Times New Roman"/>
                <w:sz w:val="24"/>
                <w:szCs w:val="24"/>
              </w:rPr>
              <w:t xml:space="preserve">The EPP hosts </w:t>
            </w:r>
            <w:r w:rsidR="008573A9" w:rsidRPr="002A3DDB">
              <w:rPr>
                <w:rFonts w:ascii="Times New Roman" w:hAnsi="Times New Roman" w:cs="Times New Roman"/>
                <w:sz w:val="24"/>
                <w:szCs w:val="24"/>
              </w:rPr>
              <w:t>retreat</w:t>
            </w:r>
            <w:r w:rsidRPr="002A3DDB">
              <w:rPr>
                <w:rFonts w:ascii="Times New Roman" w:hAnsi="Times New Roman" w:cs="Times New Roman"/>
                <w:sz w:val="24"/>
                <w:szCs w:val="24"/>
              </w:rPr>
              <w:t>s</w:t>
            </w:r>
            <w:r w:rsidR="008573A9" w:rsidRPr="002A3DDB">
              <w:rPr>
                <w:rFonts w:ascii="Times New Roman" w:hAnsi="Times New Roman" w:cs="Times New Roman"/>
                <w:sz w:val="24"/>
                <w:szCs w:val="24"/>
              </w:rPr>
              <w:t xml:space="preserve">, whereby data </w:t>
            </w:r>
            <w:r w:rsidRPr="002A3DDB">
              <w:rPr>
                <w:rFonts w:ascii="Times New Roman" w:hAnsi="Times New Roman" w:cs="Times New Roman"/>
                <w:sz w:val="24"/>
                <w:szCs w:val="24"/>
              </w:rPr>
              <w:t>from the UAS are used to make de</w:t>
            </w:r>
            <w:r w:rsidR="008573A9" w:rsidRPr="002A3DDB">
              <w:rPr>
                <w:rFonts w:ascii="Times New Roman" w:hAnsi="Times New Roman" w:cs="Times New Roman"/>
                <w:sz w:val="24"/>
                <w:szCs w:val="24"/>
              </w:rPr>
              <w:t xml:space="preserve">cisions regarding global changes (See example </w:t>
            </w:r>
            <w:r w:rsidR="00EB016F" w:rsidRPr="002A3DDB">
              <w:rPr>
                <w:rFonts w:ascii="Times New Roman" w:hAnsi="Times New Roman" w:cs="Times New Roman"/>
                <w:sz w:val="24"/>
                <w:szCs w:val="24"/>
              </w:rPr>
              <w:t xml:space="preserve">in appendices </w:t>
            </w:r>
            <w:r w:rsidR="002D2C99">
              <w:rPr>
                <w:rFonts w:ascii="Times New Roman" w:hAnsi="Times New Roman" w:cs="Times New Roman"/>
                <w:sz w:val="24"/>
                <w:szCs w:val="24"/>
              </w:rPr>
              <w:t xml:space="preserve">F1 and F2 </w:t>
            </w:r>
            <w:r w:rsidR="008573A9" w:rsidRPr="002A3DDB">
              <w:rPr>
                <w:rFonts w:ascii="Times New Roman" w:hAnsi="Times New Roman" w:cs="Times New Roman"/>
                <w:sz w:val="24"/>
                <w:szCs w:val="24"/>
              </w:rPr>
              <w:t>of EPP retr</w:t>
            </w:r>
            <w:r w:rsidRPr="002A3DDB">
              <w:rPr>
                <w:rFonts w:ascii="Times New Roman" w:hAnsi="Times New Roman" w:cs="Times New Roman"/>
                <w:sz w:val="24"/>
                <w:szCs w:val="24"/>
              </w:rPr>
              <w:t>eat minutes). These retreats represent</w:t>
            </w:r>
            <w:r w:rsidR="008573A9" w:rsidRPr="002A3DDB">
              <w:rPr>
                <w:rFonts w:ascii="Times New Roman" w:hAnsi="Times New Roman" w:cs="Times New Roman"/>
                <w:sz w:val="24"/>
                <w:szCs w:val="24"/>
              </w:rPr>
              <w:t xml:space="preserve"> the connector between the end </w:t>
            </w:r>
            <w:r w:rsidRPr="002A3DDB">
              <w:rPr>
                <w:rFonts w:ascii="Times New Roman" w:hAnsi="Times New Roman" w:cs="Times New Roman"/>
                <w:sz w:val="24"/>
                <w:szCs w:val="24"/>
              </w:rPr>
              <w:t xml:space="preserve">of </w:t>
            </w:r>
            <w:r w:rsidR="008573A9" w:rsidRPr="002A3DDB">
              <w:rPr>
                <w:rFonts w:ascii="Times New Roman" w:hAnsi="Times New Roman" w:cs="Times New Roman"/>
                <w:sz w:val="24"/>
                <w:szCs w:val="24"/>
              </w:rPr>
              <w:t xml:space="preserve">one data cycle and the beginning of the next. </w:t>
            </w:r>
          </w:p>
        </w:tc>
      </w:tr>
      <w:tr w:rsidR="0071625F" w:rsidRPr="002A3DDB" w14:paraId="73F6EBE6" w14:textId="77777777" w:rsidTr="0071625F">
        <w:trPr>
          <w:trHeight w:val="4760"/>
        </w:trPr>
        <w:tc>
          <w:tcPr>
            <w:tcW w:w="1717" w:type="dxa"/>
            <w:vMerge/>
          </w:tcPr>
          <w:p w14:paraId="16620F27" w14:textId="77777777" w:rsidR="0071625F" w:rsidRPr="002A3DDB" w:rsidRDefault="0071625F" w:rsidP="00123962">
            <w:pPr>
              <w:rPr>
                <w:rFonts w:ascii="Times New Roman" w:hAnsi="Times New Roman" w:cs="Times New Roman"/>
                <w:sz w:val="24"/>
                <w:szCs w:val="24"/>
              </w:rPr>
            </w:pPr>
          </w:p>
        </w:tc>
        <w:tc>
          <w:tcPr>
            <w:tcW w:w="2110" w:type="dxa"/>
            <w:vMerge/>
          </w:tcPr>
          <w:p w14:paraId="4AEC01CA" w14:textId="77777777" w:rsidR="0071625F" w:rsidRPr="002A3DDB" w:rsidRDefault="0071625F" w:rsidP="00123962">
            <w:pPr>
              <w:rPr>
                <w:rFonts w:ascii="Times New Roman" w:hAnsi="Times New Roman" w:cs="Times New Roman"/>
                <w:sz w:val="24"/>
                <w:szCs w:val="24"/>
              </w:rPr>
            </w:pPr>
          </w:p>
        </w:tc>
        <w:tc>
          <w:tcPr>
            <w:tcW w:w="2318" w:type="dxa"/>
          </w:tcPr>
          <w:p w14:paraId="5B0D8C2E" w14:textId="77777777" w:rsidR="0071625F" w:rsidRPr="002A3DDB" w:rsidRDefault="0071625F" w:rsidP="00123962">
            <w:pPr>
              <w:rPr>
                <w:rFonts w:ascii="Times New Roman" w:hAnsi="Times New Roman" w:cs="Times New Roman"/>
                <w:sz w:val="24"/>
                <w:szCs w:val="24"/>
              </w:rPr>
            </w:pPr>
          </w:p>
          <w:p w14:paraId="31C7ACD5" w14:textId="77777777" w:rsidR="0071625F" w:rsidRPr="002A3DDB" w:rsidRDefault="0071625F" w:rsidP="00123962">
            <w:pPr>
              <w:rPr>
                <w:rFonts w:ascii="Times New Roman" w:hAnsi="Times New Roman" w:cs="Times New Roman"/>
                <w:sz w:val="24"/>
                <w:szCs w:val="24"/>
              </w:rPr>
            </w:pPr>
            <w:r w:rsidRPr="002A3DDB">
              <w:rPr>
                <w:rFonts w:ascii="Times New Roman" w:hAnsi="Times New Roman" w:cs="Times New Roman"/>
                <w:sz w:val="24"/>
                <w:szCs w:val="24"/>
              </w:rPr>
              <w:t>2. The unit does not effectively engage P-12 teachers and other practicing educators in the design, implementation, and evaluation of the unit and its programs.</w:t>
            </w:r>
          </w:p>
        </w:tc>
        <w:tc>
          <w:tcPr>
            <w:tcW w:w="7805" w:type="dxa"/>
          </w:tcPr>
          <w:p w14:paraId="1C2CDFEC" w14:textId="77777777" w:rsidR="00395841" w:rsidRPr="002A3DDB" w:rsidRDefault="00395841" w:rsidP="00395841">
            <w:pPr>
              <w:rPr>
                <w:rFonts w:ascii="Times New Roman" w:hAnsi="Times New Roman" w:cs="Times New Roman"/>
                <w:sz w:val="24"/>
                <w:szCs w:val="24"/>
              </w:rPr>
            </w:pPr>
          </w:p>
          <w:p w14:paraId="4CCC020D" w14:textId="337EECF6" w:rsidR="00395841" w:rsidRPr="002A3DDB" w:rsidRDefault="00395841" w:rsidP="00395841">
            <w:pPr>
              <w:rPr>
                <w:rFonts w:ascii="Times New Roman" w:hAnsi="Times New Roman" w:cs="Times New Roman"/>
                <w:sz w:val="24"/>
                <w:szCs w:val="24"/>
              </w:rPr>
            </w:pPr>
            <w:r w:rsidRPr="002A3DDB">
              <w:rPr>
                <w:rFonts w:ascii="Times New Roman" w:hAnsi="Times New Roman" w:cs="Times New Roman"/>
                <w:sz w:val="24"/>
                <w:szCs w:val="24"/>
              </w:rPr>
              <w:t xml:space="preserve">The EPP collaborates with P-12 educators on several fronts to assist in program design, implementation, and the evaluation of its unit and programs. First, area superintendents meet with the dean at least once a year to provide input on the Unit’s updates and to discuss benefits of programming or their respective districts. In particular, school administrators have indicated the need for greater clarity of the expectations of host teachers, resulting in a clear articulation of the roles and responsibilities of clinical faculty (see </w:t>
            </w:r>
            <w:r w:rsidR="00AC4080" w:rsidRPr="002A3DDB">
              <w:rPr>
                <w:rFonts w:ascii="Times New Roman" w:hAnsi="Times New Roman" w:cs="Times New Roman"/>
                <w:sz w:val="24"/>
                <w:szCs w:val="24"/>
              </w:rPr>
              <w:t xml:space="preserve">previously submitted </w:t>
            </w:r>
            <w:r w:rsidRPr="002A3DDB">
              <w:rPr>
                <w:rFonts w:ascii="Times New Roman" w:hAnsi="Times New Roman" w:cs="Times New Roman"/>
                <w:sz w:val="24"/>
                <w:szCs w:val="24"/>
              </w:rPr>
              <w:t xml:space="preserve">Clinical handbook). </w:t>
            </w:r>
          </w:p>
          <w:p w14:paraId="49777D45" w14:textId="77777777" w:rsidR="00395841" w:rsidRPr="002A3DDB" w:rsidRDefault="00395841" w:rsidP="00395841">
            <w:pPr>
              <w:rPr>
                <w:rFonts w:ascii="Times New Roman" w:hAnsi="Times New Roman" w:cs="Times New Roman"/>
                <w:sz w:val="24"/>
                <w:szCs w:val="24"/>
              </w:rPr>
            </w:pPr>
          </w:p>
          <w:p w14:paraId="48261DDC" w14:textId="47B86423" w:rsidR="0071625F" w:rsidRPr="002A3DDB" w:rsidRDefault="00395841" w:rsidP="00C62D84">
            <w:pPr>
              <w:widowControl w:val="0"/>
              <w:autoSpaceDE w:val="0"/>
              <w:autoSpaceDN w:val="0"/>
              <w:adjustRightInd w:val="0"/>
              <w:rPr>
                <w:rFonts w:ascii="Times New Roman" w:hAnsi="Times New Roman" w:cs="Times New Roman"/>
                <w:sz w:val="24"/>
                <w:szCs w:val="24"/>
              </w:rPr>
            </w:pPr>
            <w:r w:rsidRPr="002A3DDB">
              <w:rPr>
                <w:rFonts w:ascii="Times New Roman" w:hAnsi="Times New Roman" w:cs="Times New Roman"/>
                <w:color w:val="191919"/>
                <w:sz w:val="24"/>
                <w:szCs w:val="24"/>
              </w:rPr>
              <w:t xml:space="preserve">In an effort to provide clarity, the staff of the Child and Family Development Resources Center </w:t>
            </w:r>
            <w:r w:rsidR="00973CD6">
              <w:rPr>
                <w:rFonts w:ascii="Times New Roman" w:hAnsi="Times New Roman" w:cs="Times New Roman"/>
                <w:color w:val="191919"/>
                <w:sz w:val="24"/>
                <w:szCs w:val="24"/>
              </w:rPr>
              <w:t xml:space="preserve">(CFDRC) </w:t>
            </w:r>
            <w:r w:rsidRPr="002A3DDB">
              <w:rPr>
                <w:rFonts w:ascii="Times New Roman" w:hAnsi="Times New Roman" w:cs="Times New Roman"/>
                <w:color w:val="191919"/>
                <w:sz w:val="24"/>
                <w:szCs w:val="24"/>
              </w:rPr>
              <w:t xml:space="preserve">in collaboration with EPP faculty created a system to better support practicum students at the CFDRC.  The recommendations were based on observations surrounding areas of need, improvement, additional experience for the </w:t>
            </w:r>
            <w:r w:rsidR="00C62D84" w:rsidRPr="002A3DDB">
              <w:rPr>
                <w:rFonts w:ascii="Times New Roman" w:hAnsi="Times New Roman" w:cs="Times New Roman"/>
                <w:color w:val="191919"/>
                <w:sz w:val="24"/>
                <w:szCs w:val="24"/>
              </w:rPr>
              <w:t>candidates</w:t>
            </w:r>
            <w:r w:rsidRPr="002A3DDB">
              <w:rPr>
                <w:rFonts w:ascii="Times New Roman" w:hAnsi="Times New Roman" w:cs="Times New Roman"/>
                <w:color w:val="191919"/>
                <w:sz w:val="24"/>
                <w:szCs w:val="24"/>
              </w:rPr>
              <w:t xml:space="preserve">. (see </w:t>
            </w:r>
            <w:r w:rsidR="00C62D84" w:rsidRPr="002A3DDB">
              <w:rPr>
                <w:rFonts w:ascii="Times New Roman" w:hAnsi="Times New Roman" w:cs="Times New Roman"/>
                <w:color w:val="191919"/>
                <w:sz w:val="24"/>
                <w:szCs w:val="24"/>
              </w:rPr>
              <w:t>appendix</w:t>
            </w:r>
            <w:r w:rsidRPr="002A3DDB">
              <w:rPr>
                <w:rFonts w:ascii="Times New Roman" w:hAnsi="Times New Roman" w:cs="Times New Roman"/>
                <w:color w:val="191919"/>
                <w:sz w:val="24"/>
                <w:szCs w:val="24"/>
              </w:rPr>
              <w:t xml:space="preserve"> </w:t>
            </w:r>
            <w:r w:rsidR="00973CD6">
              <w:rPr>
                <w:rFonts w:ascii="Times New Roman" w:hAnsi="Times New Roman" w:cs="Times New Roman"/>
                <w:color w:val="191919"/>
                <w:sz w:val="24"/>
                <w:szCs w:val="24"/>
              </w:rPr>
              <w:t>J7 for Collaboration with CFDRC</w:t>
            </w:r>
            <w:r w:rsidRPr="002A3DDB">
              <w:rPr>
                <w:rFonts w:ascii="Times New Roman" w:hAnsi="Times New Roman" w:cs="Times New Roman"/>
                <w:color w:val="191919"/>
                <w:sz w:val="24"/>
                <w:szCs w:val="24"/>
              </w:rPr>
              <w:t>)</w:t>
            </w:r>
          </w:p>
          <w:p w14:paraId="79545C08" w14:textId="77777777" w:rsidR="0071625F" w:rsidRPr="002A3DDB" w:rsidRDefault="0071625F" w:rsidP="004F2317">
            <w:pPr>
              <w:rPr>
                <w:rFonts w:ascii="Times New Roman" w:hAnsi="Times New Roman" w:cs="Times New Roman"/>
                <w:sz w:val="24"/>
                <w:szCs w:val="24"/>
              </w:rPr>
            </w:pPr>
            <w:r w:rsidRPr="002A3DDB">
              <w:rPr>
                <w:rFonts w:ascii="Times New Roman" w:hAnsi="Times New Roman" w:cs="Times New Roman"/>
                <w:sz w:val="24"/>
                <w:szCs w:val="24"/>
              </w:rPr>
              <w:t xml:space="preserve">  </w:t>
            </w:r>
          </w:p>
          <w:p w14:paraId="345B9A50" w14:textId="0F59F9D0" w:rsidR="00C62D84" w:rsidRPr="002A3DDB" w:rsidRDefault="0071625F" w:rsidP="00C62D84">
            <w:pPr>
              <w:rPr>
                <w:rFonts w:ascii="Times New Roman" w:hAnsi="Times New Roman" w:cs="Times New Roman"/>
                <w:sz w:val="24"/>
                <w:szCs w:val="24"/>
              </w:rPr>
            </w:pPr>
            <w:r w:rsidRPr="002A3DDB">
              <w:rPr>
                <w:rFonts w:ascii="Times New Roman" w:hAnsi="Times New Roman" w:cs="Times New Roman"/>
                <w:sz w:val="24"/>
                <w:szCs w:val="24"/>
              </w:rPr>
              <w:t>Data for the EPP are collected, analyzed, and used for decision making to ensure sound procedures and content for the advancement of candidates’ knowledge, skills, and professional disposition, as well as program operations supported by community input</w:t>
            </w:r>
            <w:r w:rsidR="00C62D84" w:rsidRPr="002A3DDB">
              <w:rPr>
                <w:rFonts w:ascii="Times New Roman" w:hAnsi="Times New Roman" w:cs="Times New Roman"/>
                <w:sz w:val="24"/>
                <w:szCs w:val="24"/>
              </w:rPr>
              <w:t>.</w:t>
            </w:r>
            <w:r w:rsidRPr="002A3DDB">
              <w:rPr>
                <w:rFonts w:ascii="Times New Roman" w:hAnsi="Times New Roman" w:cs="Times New Roman"/>
                <w:sz w:val="24"/>
                <w:szCs w:val="24"/>
              </w:rPr>
              <w:t xml:space="preserve"> </w:t>
            </w:r>
            <w:r w:rsidR="0004571E">
              <w:rPr>
                <w:rFonts w:ascii="Times New Roman" w:hAnsi="Times New Roman" w:cs="Times New Roman"/>
                <w:sz w:val="24"/>
                <w:szCs w:val="24"/>
              </w:rPr>
              <w:t xml:space="preserve"> EPP faculty collaborate with content area faculty to share data, discuss program changes and ways to support candidates, across various disciplines (see minutes of the recent Collaborative Content Area </w:t>
            </w:r>
            <w:r w:rsidR="0083656C">
              <w:rPr>
                <w:rFonts w:ascii="Times New Roman" w:hAnsi="Times New Roman" w:cs="Times New Roman"/>
                <w:sz w:val="24"/>
                <w:szCs w:val="24"/>
              </w:rPr>
              <w:t>Faculty meeting in Appendix H1)</w:t>
            </w:r>
          </w:p>
          <w:p w14:paraId="543E4557" w14:textId="5AC77342" w:rsidR="0071625F" w:rsidRPr="002A3DDB" w:rsidRDefault="0071625F" w:rsidP="00123962">
            <w:pPr>
              <w:rPr>
                <w:rFonts w:ascii="Times New Roman" w:hAnsi="Times New Roman" w:cs="Times New Roman"/>
                <w:sz w:val="24"/>
                <w:szCs w:val="24"/>
              </w:rPr>
            </w:pPr>
          </w:p>
        </w:tc>
      </w:tr>
      <w:tr w:rsidR="00D923BE" w:rsidRPr="00B422E6" w14:paraId="2D89F5C6" w14:textId="77777777" w:rsidTr="00FF2695">
        <w:trPr>
          <w:trHeight w:val="63"/>
        </w:trPr>
        <w:tc>
          <w:tcPr>
            <w:tcW w:w="1717" w:type="dxa"/>
            <w:vMerge/>
          </w:tcPr>
          <w:p w14:paraId="62C4D9D4" w14:textId="77777777" w:rsidR="00D923BE" w:rsidRPr="002A3DDB" w:rsidRDefault="00D923BE" w:rsidP="00123962">
            <w:pPr>
              <w:rPr>
                <w:rFonts w:ascii="Times New Roman" w:hAnsi="Times New Roman" w:cs="Times New Roman"/>
                <w:sz w:val="24"/>
                <w:szCs w:val="24"/>
              </w:rPr>
            </w:pPr>
          </w:p>
        </w:tc>
        <w:tc>
          <w:tcPr>
            <w:tcW w:w="2110" w:type="dxa"/>
            <w:vMerge/>
          </w:tcPr>
          <w:p w14:paraId="34E57CD9" w14:textId="77777777" w:rsidR="00D923BE" w:rsidRPr="002A3DDB" w:rsidRDefault="00D923BE" w:rsidP="00123962">
            <w:pPr>
              <w:rPr>
                <w:rFonts w:ascii="Times New Roman" w:hAnsi="Times New Roman" w:cs="Times New Roman"/>
                <w:sz w:val="24"/>
                <w:szCs w:val="24"/>
              </w:rPr>
            </w:pPr>
          </w:p>
        </w:tc>
        <w:tc>
          <w:tcPr>
            <w:tcW w:w="2318" w:type="dxa"/>
          </w:tcPr>
          <w:p w14:paraId="62F35AB6" w14:textId="77777777" w:rsidR="00D923BE" w:rsidRPr="002A3DDB" w:rsidRDefault="00D923BE" w:rsidP="00123962">
            <w:pPr>
              <w:rPr>
                <w:rFonts w:ascii="Times New Roman" w:hAnsi="Times New Roman" w:cs="Times New Roman"/>
                <w:sz w:val="24"/>
                <w:szCs w:val="24"/>
              </w:rPr>
            </w:pPr>
          </w:p>
          <w:p w14:paraId="2CEBD5B4" w14:textId="77777777" w:rsidR="00D923BE" w:rsidRPr="002A3DDB" w:rsidRDefault="00D923BE" w:rsidP="00123962">
            <w:pPr>
              <w:rPr>
                <w:rFonts w:ascii="Times New Roman" w:hAnsi="Times New Roman" w:cs="Times New Roman"/>
                <w:sz w:val="24"/>
                <w:szCs w:val="24"/>
              </w:rPr>
            </w:pPr>
            <w:r w:rsidRPr="002A3DDB">
              <w:rPr>
                <w:rFonts w:ascii="Times New Roman" w:hAnsi="Times New Roman" w:cs="Times New Roman"/>
                <w:sz w:val="24"/>
                <w:szCs w:val="24"/>
              </w:rPr>
              <w:t>3. The unit has endured budget cuts for the past 6.5 years, which may affect its ability to provide high quality programs for candidates.</w:t>
            </w:r>
          </w:p>
        </w:tc>
        <w:tc>
          <w:tcPr>
            <w:tcW w:w="7805" w:type="dxa"/>
          </w:tcPr>
          <w:p w14:paraId="6FCAC505" w14:textId="76C7940F" w:rsidR="00D923BE" w:rsidRPr="002A3DDB" w:rsidRDefault="00D923BE" w:rsidP="004F2317">
            <w:pPr>
              <w:rPr>
                <w:rFonts w:ascii="Times New Roman" w:hAnsi="Times New Roman" w:cs="Times New Roman"/>
                <w:sz w:val="24"/>
                <w:szCs w:val="24"/>
              </w:rPr>
            </w:pPr>
            <w:r w:rsidRPr="002A3DDB">
              <w:rPr>
                <w:rFonts w:ascii="Times New Roman" w:hAnsi="Times New Roman" w:cs="Times New Roman"/>
                <w:sz w:val="24"/>
                <w:szCs w:val="24"/>
              </w:rPr>
              <w:t>The EPP, lik</w:t>
            </w:r>
            <w:r w:rsidR="00C62D84" w:rsidRPr="002A3DDB">
              <w:rPr>
                <w:rFonts w:ascii="Times New Roman" w:hAnsi="Times New Roman" w:cs="Times New Roman"/>
                <w:sz w:val="24"/>
                <w:szCs w:val="24"/>
              </w:rPr>
              <w:t>e the rest of the university has continued to experience</w:t>
            </w:r>
            <w:r w:rsidRPr="002A3DDB">
              <w:rPr>
                <w:rFonts w:ascii="Times New Roman" w:hAnsi="Times New Roman" w:cs="Times New Roman"/>
                <w:sz w:val="24"/>
                <w:szCs w:val="24"/>
              </w:rPr>
              <w:t xml:space="preserve"> reduced resources over the years. Yet, it has been through innovation and the will to ensure high quality programing to students, that candidate services have not demised. </w:t>
            </w:r>
          </w:p>
          <w:p w14:paraId="50F53FA2" w14:textId="77777777" w:rsidR="00D923BE" w:rsidRPr="002A3DDB" w:rsidRDefault="00D923BE" w:rsidP="004F2317">
            <w:pPr>
              <w:rPr>
                <w:rFonts w:ascii="Times New Roman" w:hAnsi="Times New Roman" w:cs="Times New Roman"/>
                <w:sz w:val="24"/>
                <w:szCs w:val="24"/>
              </w:rPr>
            </w:pPr>
          </w:p>
          <w:p w14:paraId="6B971C90" w14:textId="4C9BD3CE" w:rsidR="00D923BE" w:rsidRPr="002A3DDB" w:rsidRDefault="00D923BE" w:rsidP="004F2317">
            <w:pPr>
              <w:rPr>
                <w:rFonts w:ascii="Times New Roman" w:hAnsi="Times New Roman" w:cs="Times New Roman"/>
                <w:sz w:val="24"/>
                <w:szCs w:val="24"/>
              </w:rPr>
            </w:pPr>
            <w:r w:rsidRPr="002A3DDB">
              <w:rPr>
                <w:rFonts w:ascii="Times New Roman" w:hAnsi="Times New Roman" w:cs="Times New Roman"/>
                <w:sz w:val="24"/>
                <w:szCs w:val="24"/>
              </w:rPr>
              <w:t xml:space="preserve">Several steps have been taken to ensure continued efficiency in the face of declining resources. For all advanced candidates, the newly proposed advanced master’s program is set to replace the existing programs. This is a strategy to ensure that resources are economized for maximization (See </w:t>
            </w:r>
            <w:r w:rsidR="00E9105C">
              <w:rPr>
                <w:rFonts w:ascii="Times New Roman" w:hAnsi="Times New Roman" w:cs="Times New Roman"/>
                <w:sz w:val="24"/>
                <w:szCs w:val="24"/>
              </w:rPr>
              <w:t xml:space="preserve">Appendix D1 for </w:t>
            </w:r>
            <w:r w:rsidRPr="002A3DDB">
              <w:rPr>
                <w:rFonts w:ascii="Times New Roman" w:hAnsi="Times New Roman" w:cs="Times New Roman"/>
                <w:sz w:val="24"/>
                <w:szCs w:val="24"/>
              </w:rPr>
              <w:t xml:space="preserve">advanced master’s program rationale).  </w:t>
            </w:r>
          </w:p>
          <w:p w14:paraId="1F2FC40A" w14:textId="77777777" w:rsidR="00D923BE" w:rsidRPr="002A3DDB" w:rsidRDefault="00D923BE" w:rsidP="004F2317">
            <w:pPr>
              <w:rPr>
                <w:rFonts w:ascii="Times New Roman" w:hAnsi="Times New Roman" w:cs="Times New Roman"/>
                <w:sz w:val="24"/>
                <w:szCs w:val="24"/>
              </w:rPr>
            </w:pPr>
          </w:p>
          <w:p w14:paraId="068073B3" w14:textId="7A95C0F3" w:rsidR="00D923BE" w:rsidRPr="002A3DDB" w:rsidRDefault="00D923BE" w:rsidP="004F2317">
            <w:pPr>
              <w:rPr>
                <w:rFonts w:ascii="Times New Roman" w:hAnsi="Times New Roman" w:cs="Times New Roman"/>
                <w:sz w:val="24"/>
                <w:szCs w:val="24"/>
              </w:rPr>
            </w:pPr>
            <w:r w:rsidRPr="002A3DDB">
              <w:rPr>
                <w:rFonts w:ascii="Times New Roman" w:hAnsi="Times New Roman" w:cs="Times New Roman"/>
                <w:sz w:val="24"/>
                <w:szCs w:val="24"/>
              </w:rPr>
              <w:t>The program has reassigned faculty lines to more efficiently meet the needs of the EPP in areas where applicable. For example, upon the retirement of an ECE faculty member for Special Education, the EPP has rewritten the faculty line to accommodate the needs of both the Early Childhood an</w:t>
            </w:r>
            <w:r w:rsidR="00A70954" w:rsidRPr="002A3DDB">
              <w:rPr>
                <w:rFonts w:ascii="Times New Roman" w:hAnsi="Times New Roman" w:cs="Times New Roman"/>
                <w:sz w:val="24"/>
                <w:szCs w:val="24"/>
              </w:rPr>
              <w:t>d Elementary Education programs</w:t>
            </w:r>
            <w:r w:rsidR="0058738A" w:rsidRPr="002A3DDB">
              <w:rPr>
                <w:rFonts w:ascii="Times New Roman" w:hAnsi="Times New Roman" w:cs="Times New Roman"/>
                <w:sz w:val="24"/>
                <w:szCs w:val="24"/>
              </w:rPr>
              <w:t xml:space="preserve"> (see job description at http://www.easternct.edu/humanresources/jobs/faculty-positions/#SpecialEd)</w:t>
            </w:r>
            <w:r w:rsidR="00A70954" w:rsidRPr="002A3DDB">
              <w:rPr>
                <w:rFonts w:ascii="Times New Roman" w:hAnsi="Times New Roman" w:cs="Times New Roman"/>
                <w:sz w:val="24"/>
                <w:szCs w:val="24"/>
              </w:rPr>
              <w:t xml:space="preserve">.  </w:t>
            </w:r>
            <w:r w:rsidR="00873AE0" w:rsidRPr="002A3DDB">
              <w:rPr>
                <w:rFonts w:ascii="Times New Roman" w:hAnsi="Times New Roman" w:cs="Times New Roman"/>
                <w:sz w:val="24"/>
                <w:szCs w:val="24"/>
              </w:rPr>
              <w:t>Additionally, on the retirement of the Social Studies and Educational Technology faculty, the EPP has combined the two cognate areas relevantly to seek a candidate with strong social studies and educational technology background</w:t>
            </w:r>
            <w:r w:rsidR="0058738A" w:rsidRPr="002A3DDB">
              <w:rPr>
                <w:rFonts w:ascii="Times New Roman" w:hAnsi="Times New Roman" w:cs="Times New Roman"/>
                <w:sz w:val="24"/>
                <w:szCs w:val="24"/>
              </w:rPr>
              <w:t xml:space="preserve"> (see job description at http://www.easternct.edu/humanresources/jobs/faculty-positions/#SSED)</w:t>
            </w:r>
            <w:r w:rsidR="00873AE0" w:rsidRPr="002A3DDB">
              <w:rPr>
                <w:rFonts w:ascii="Times New Roman" w:hAnsi="Times New Roman" w:cs="Times New Roman"/>
                <w:sz w:val="24"/>
                <w:szCs w:val="24"/>
              </w:rPr>
              <w:t>.</w:t>
            </w:r>
            <w:r w:rsidR="0058738A" w:rsidRPr="002A3DDB">
              <w:rPr>
                <w:rFonts w:ascii="Times New Roman" w:hAnsi="Times New Roman" w:cs="Times New Roman"/>
                <w:sz w:val="24"/>
                <w:szCs w:val="24"/>
              </w:rPr>
              <w:t xml:space="preserve"> </w:t>
            </w:r>
          </w:p>
          <w:p w14:paraId="08E3591F" w14:textId="77777777" w:rsidR="00D923BE" w:rsidRPr="002A3DDB" w:rsidRDefault="00D923BE" w:rsidP="004F2317">
            <w:pPr>
              <w:rPr>
                <w:rFonts w:ascii="Times New Roman" w:hAnsi="Times New Roman" w:cs="Times New Roman"/>
                <w:sz w:val="24"/>
                <w:szCs w:val="24"/>
              </w:rPr>
            </w:pPr>
          </w:p>
          <w:p w14:paraId="14DEAB7E" w14:textId="72856A05" w:rsidR="00D923BE" w:rsidRPr="002A3DDB" w:rsidRDefault="00D923BE" w:rsidP="004F2317">
            <w:pPr>
              <w:rPr>
                <w:rFonts w:ascii="Times New Roman" w:hAnsi="Times New Roman" w:cs="Times New Roman"/>
                <w:sz w:val="24"/>
                <w:szCs w:val="24"/>
              </w:rPr>
            </w:pPr>
            <w:r w:rsidRPr="002A3DDB">
              <w:rPr>
                <w:rFonts w:ascii="Times New Roman" w:hAnsi="Times New Roman" w:cs="Times New Roman"/>
                <w:sz w:val="24"/>
                <w:szCs w:val="24"/>
              </w:rPr>
              <w:t>Nevertheless, there have been fiscal commitments such as the acquisition of TK20, the electronic assessment data system and University Assistants to support assessment, clinical practice, and certification and accreditation. These hires have relieved EPP faculty of certain managerial responsibilities in order to focus on strong cur</w:t>
            </w:r>
            <w:r w:rsidR="00873AE0" w:rsidRPr="002A3DDB">
              <w:rPr>
                <w:rFonts w:ascii="Times New Roman" w:hAnsi="Times New Roman" w:cs="Times New Roman"/>
                <w:sz w:val="24"/>
                <w:szCs w:val="24"/>
              </w:rPr>
              <w:t xml:space="preserve">riculum to support candidates’ </w:t>
            </w:r>
            <w:r w:rsidRPr="002A3DDB">
              <w:rPr>
                <w:rFonts w:ascii="Times New Roman" w:hAnsi="Times New Roman" w:cs="Times New Roman"/>
                <w:sz w:val="24"/>
                <w:szCs w:val="24"/>
              </w:rPr>
              <w:t>knowledge, skills, and dispositions development.</w:t>
            </w:r>
          </w:p>
          <w:p w14:paraId="3D65C136" w14:textId="77777777" w:rsidR="00D923BE" w:rsidRPr="002A3DDB" w:rsidRDefault="00D923BE" w:rsidP="004F2317">
            <w:pPr>
              <w:rPr>
                <w:rFonts w:ascii="Times New Roman" w:hAnsi="Times New Roman" w:cs="Times New Roman"/>
                <w:sz w:val="24"/>
                <w:szCs w:val="24"/>
              </w:rPr>
            </w:pPr>
          </w:p>
          <w:p w14:paraId="6217E235" w14:textId="3F975323" w:rsidR="00D923BE" w:rsidRPr="002A3DDB" w:rsidRDefault="00D923BE" w:rsidP="004F2317">
            <w:pPr>
              <w:rPr>
                <w:rFonts w:ascii="Times New Roman" w:hAnsi="Times New Roman" w:cs="Times New Roman"/>
                <w:sz w:val="24"/>
                <w:szCs w:val="24"/>
              </w:rPr>
            </w:pPr>
            <w:r w:rsidRPr="002A3DDB">
              <w:rPr>
                <w:rFonts w:ascii="Times New Roman" w:hAnsi="Times New Roman" w:cs="Times New Roman"/>
                <w:sz w:val="24"/>
                <w:szCs w:val="24"/>
              </w:rPr>
              <w:t>A comparison of the EPP budget to that of Social Work will be provided during the full visit.</w:t>
            </w:r>
          </w:p>
          <w:p w14:paraId="7738B099" w14:textId="77777777" w:rsidR="00873AE0" w:rsidRPr="002A3DDB" w:rsidRDefault="00873AE0" w:rsidP="004F2317">
            <w:pPr>
              <w:rPr>
                <w:rFonts w:ascii="Times New Roman" w:hAnsi="Times New Roman" w:cs="Times New Roman"/>
                <w:sz w:val="24"/>
                <w:szCs w:val="24"/>
              </w:rPr>
            </w:pPr>
          </w:p>
          <w:p w14:paraId="6E722F35" w14:textId="4DE577FB" w:rsidR="00D923BE" w:rsidRPr="00A70954" w:rsidRDefault="00873AE0" w:rsidP="00123962">
            <w:pPr>
              <w:rPr>
                <w:rFonts w:ascii="Times New Roman" w:hAnsi="Times New Roman" w:cs="Times New Roman"/>
                <w:sz w:val="24"/>
                <w:szCs w:val="24"/>
              </w:rPr>
            </w:pPr>
            <w:r w:rsidRPr="002A3DDB">
              <w:rPr>
                <w:rFonts w:ascii="Times New Roman" w:hAnsi="Times New Roman" w:cs="Times New Roman"/>
                <w:b/>
                <w:i/>
                <w:sz w:val="24"/>
                <w:szCs w:val="24"/>
              </w:rPr>
              <w:t>Other evidence requested by the BOE Team for validation will be provided during the onsite visit.</w:t>
            </w:r>
          </w:p>
        </w:tc>
      </w:tr>
    </w:tbl>
    <w:p w14:paraId="5B38AC4E" w14:textId="77777777" w:rsidR="001E0E5B" w:rsidRPr="00B422E6" w:rsidRDefault="001E0E5B">
      <w:pPr>
        <w:rPr>
          <w:rFonts w:ascii="Times New Roman" w:hAnsi="Times New Roman" w:cs="Times New Roman"/>
          <w:sz w:val="24"/>
          <w:szCs w:val="24"/>
        </w:rPr>
      </w:pPr>
    </w:p>
    <w:sectPr w:rsidR="001E0E5B" w:rsidRPr="00B422E6" w:rsidSect="004923C0">
      <w:footerReference w:type="default" r:id="rId9"/>
      <w:pgSz w:w="15840" w:h="12240" w:orient="landscape"/>
      <w:pgMar w:top="1350"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630A" w14:textId="77777777" w:rsidR="000C30D0" w:rsidRDefault="000C30D0" w:rsidP="00332B57">
      <w:pPr>
        <w:spacing w:after="0" w:line="240" w:lineRule="auto"/>
      </w:pPr>
      <w:r>
        <w:separator/>
      </w:r>
    </w:p>
  </w:endnote>
  <w:endnote w:type="continuationSeparator" w:id="0">
    <w:p w14:paraId="027E5862" w14:textId="77777777" w:rsidR="000C30D0" w:rsidRDefault="000C30D0" w:rsidP="0033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44932"/>
      <w:docPartObj>
        <w:docPartGallery w:val="Page Numbers (Bottom of Page)"/>
        <w:docPartUnique/>
      </w:docPartObj>
    </w:sdtPr>
    <w:sdtEndPr>
      <w:rPr>
        <w:noProof/>
      </w:rPr>
    </w:sdtEndPr>
    <w:sdtContent>
      <w:p w14:paraId="7F6B4EAE" w14:textId="38F17089" w:rsidR="000C30D0" w:rsidRDefault="000C30D0">
        <w:pPr>
          <w:pStyle w:val="Footer"/>
          <w:jc w:val="right"/>
        </w:pPr>
        <w:r>
          <w:fldChar w:fldCharType="begin"/>
        </w:r>
        <w:r>
          <w:instrText xml:space="preserve"> PAGE   \* MERGEFORMAT </w:instrText>
        </w:r>
        <w:r>
          <w:fldChar w:fldCharType="separate"/>
        </w:r>
        <w:r w:rsidR="009E1A09">
          <w:rPr>
            <w:noProof/>
          </w:rPr>
          <w:t>2</w:t>
        </w:r>
        <w:r>
          <w:rPr>
            <w:noProof/>
          </w:rPr>
          <w:fldChar w:fldCharType="end"/>
        </w:r>
      </w:p>
    </w:sdtContent>
  </w:sdt>
  <w:p w14:paraId="4F4E13DC" w14:textId="77777777" w:rsidR="000C30D0" w:rsidRDefault="000C3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74160" w14:textId="77777777" w:rsidR="000C30D0" w:rsidRDefault="000C30D0" w:rsidP="00332B57">
      <w:pPr>
        <w:spacing w:after="0" w:line="240" w:lineRule="auto"/>
      </w:pPr>
      <w:r>
        <w:separator/>
      </w:r>
    </w:p>
  </w:footnote>
  <w:footnote w:type="continuationSeparator" w:id="0">
    <w:p w14:paraId="31FB2F5D" w14:textId="77777777" w:rsidR="000C30D0" w:rsidRDefault="000C30D0" w:rsidP="00332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E10CE"/>
    <w:multiLevelType w:val="hybridMultilevel"/>
    <w:tmpl w:val="CAAE2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305CF"/>
    <w:multiLevelType w:val="hybridMultilevel"/>
    <w:tmpl w:val="06183970"/>
    <w:lvl w:ilvl="0" w:tplc="92A64E16">
      <w:start w:val="4"/>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43"/>
    <w:rsid w:val="00007A74"/>
    <w:rsid w:val="00025C03"/>
    <w:rsid w:val="000439F5"/>
    <w:rsid w:val="0004571E"/>
    <w:rsid w:val="000655F6"/>
    <w:rsid w:val="000755B3"/>
    <w:rsid w:val="00085443"/>
    <w:rsid w:val="000A4446"/>
    <w:rsid w:val="000A4851"/>
    <w:rsid w:val="000C30D0"/>
    <w:rsid w:val="000E6B41"/>
    <w:rsid w:val="00115743"/>
    <w:rsid w:val="00123962"/>
    <w:rsid w:val="00131134"/>
    <w:rsid w:val="0013345B"/>
    <w:rsid w:val="00143B9A"/>
    <w:rsid w:val="001D4C8B"/>
    <w:rsid w:val="001E0E5B"/>
    <w:rsid w:val="001E5926"/>
    <w:rsid w:val="001F660F"/>
    <w:rsid w:val="00203AF2"/>
    <w:rsid w:val="00225DF6"/>
    <w:rsid w:val="00244C0B"/>
    <w:rsid w:val="00264AE7"/>
    <w:rsid w:val="0027350A"/>
    <w:rsid w:val="00280A83"/>
    <w:rsid w:val="00286B2A"/>
    <w:rsid w:val="002A2E44"/>
    <w:rsid w:val="002A3DDB"/>
    <w:rsid w:val="002D2C99"/>
    <w:rsid w:val="002E3F82"/>
    <w:rsid w:val="002F06A3"/>
    <w:rsid w:val="00311747"/>
    <w:rsid w:val="00332B57"/>
    <w:rsid w:val="00364581"/>
    <w:rsid w:val="00371768"/>
    <w:rsid w:val="00381E48"/>
    <w:rsid w:val="003953A0"/>
    <w:rsid w:val="00395841"/>
    <w:rsid w:val="003B4F27"/>
    <w:rsid w:val="003C6A63"/>
    <w:rsid w:val="004501F0"/>
    <w:rsid w:val="004756B2"/>
    <w:rsid w:val="004923C0"/>
    <w:rsid w:val="004A2DDC"/>
    <w:rsid w:val="004B404E"/>
    <w:rsid w:val="004D602B"/>
    <w:rsid w:val="004F2317"/>
    <w:rsid w:val="00503817"/>
    <w:rsid w:val="00515837"/>
    <w:rsid w:val="00520CA1"/>
    <w:rsid w:val="00520D75"/>
    <w:rsid w:val="00527242"/>
    <w:rsid w:val="00532E22"/>
    <w:rsid w:val="00536631"/>
    <w:rsid w:val="0057762A"/>
    <w:rsid w:val="0058738A"/>
    <w:rsid w:val="00596D7A"/>
    <w:rsid w:val="00597B96"/>
    <w:rsid w:val="005B04E6"/>
    <w:rsid w:val="005B64E3"/>
    <w:rsid w:val="005D0BC1"/>
    <w:rsid w:val="005D0DFC"/>
    <w:rsid w:val="0061011A"/>
    <w:rsid w:val="00612945"/>
    <w:rsid w:val="00621061"/>
    <w:rsid w:val="00622B2F"/>
    <w:rsid w:val="00624EEB"/>
    <w:rsid w:val="0064298C"/>
    <w:rsid w:val="00643317"/>
    <w:rsid w:val="00663043"/>
    <w:rsid w:val="006671D1"/>
    <w:rsid w:val="00667962"/>
    <w:rsid w:val="0067217B"/>
    <w:rsid w:val="00677E41"/>
    <w:rsid w:val="006D2CE1"/>
    <w:rsid w:val="006D59A6"/>
    <w:rsid w:val="00703D19"/>
    <w:rsid w:val="0071625F"/>
    <w:rsid w:val="00720E03"/>
    <w:rsid w:val="00724B9E"/>
    <w:rsid w:val="007443F6"/>
    <w:rsid w:val="007A4432"/>
    <w:rsid w:val="007A596D"/>
    <w:rsid w:val="007C6A1C"/>
    <w:rsid w:val="007D1F7B"/>
    <w:rsid w:val="007E62A6"/>
    <w:rsid w:val="00833F2D"/>
    <w:rsid w:val="0083656C"/>
    <w:rsid w:val="008368AA"/>
    <w:rsid w:val="0083768E"/>
    <w:rsid w:val="008573A9"/>
    <w:rsid w:val="008639CB"/>
    <w:rsid w:val="00872959"/>
    <w:rsid w:val="00873AE0"/>
    <w:rsid w:val="008814C9"/>
    <w:rsid w:val="008A7767"/>
    <w:rsid w:val="008E1B9C"/>
    <w:rsid w:val="00904E09"/>
    <w:rsid w:val="00920793"/>
    <w:rsid w:val="00940B67"/>
    <w:rsid w:val="00952218"/>
    <w:rsid w:val="00956563"/>
    <w:rsid w:val="00966716"/>
    <w:rsid w:val="00973CD6"/>
    <w:rsid w:val="009A0BE1"/>
    <w:rsid w:val="009A7BA4"/>
    <w:rsid w:val="009E1A09"/>
    <w:rsid w:val="00A027D1"/>
    <w:rsid w:val="00A07A32"/>
    <w:rsid w:val="00A1656B"/>
    <w:rsid w:val="00A54D42"/>
    <w:rsid w:val="00A70954"/>
    <w:rsid w:val="00A710B4"/>
    <w:rsid w:val="00A727C0"/>
    <w:rsid w:val="00A91989"/>
    <w:rsid w:val="00AA08E6"/>
    <w:rsid w:val="00AA3BE6"/>
    <w:rsid w:val="00AB5216"/>
    <w:rsid w:val="00AC4080"/>
    <w:rsid w:val="00AC665C"/>
    <w:rsid w:val="00AD083F"/>
    <w:rsid w:val="00AD2A25"/>
    <w:rsid w:val="00AF6475"/>
    <w:rsid w:val="00B172B8"/>
    <w:rsid w:val="00B203AC"/>
    <w:rsid w:val="00B422E6"/>
    <w:rsid w:val="00B54D4E"/>
    <w:rsid w:val="00B577A5"/>
    <w:rsid w:val="00B62F4C"/>
    <w:rsid w:val="00BB0FC6"/>
    <w:rsid w:val="00BB4F8B"/>
    <w:rsid w:val="00BB67DB"/>
    <w:rsid w:val="00BB779B"/>
    <w:rsid w:val="00C31ED0"/>
    <w:rsid w:val="00C62D84"/>
    <w:rsid w:val="00C92AA2"/>
    <w:rsid w:val="00CE2D52"/>
    <w:rsid w:val="00CE3C16"/>
    <w:rsid w:val="00CF3FB3"/>
    <w:rsid w:val="00D44FB5"/>
    <w:rsid w:val="00D71C09"/>
    <w:rsid w:val="00D9098D"/>
    <w:rsid w:val="00D923BE"/>
    <w:rsid w:val="00D93173"/>
    <w:rsid w:val="00DD257F"/>
    <w:rsid w:val="00DD7D74"/>
    <w:rsid w:val="00E14CA2"/>
    <w:rsid w:val="00E36CE4"/>
    <w:rsid w:val="00E54A57"/>
    <w:rsid w:val="00E5720B"/>
    <w:rsid w:val="00E61AA9"/>
    <w:rsid w:val="00E7467E"/>
    <w:rsid w:val="00E909E9"/>
    <w:rsid w:val="00E9105C"/>
    <w:rsid w:val="00EA7118"/>
    <w:rsid w:val="00EB016F"/>
    <w:rsid w:val="00EB4A8D"/>
    <w:rsid w:val="00EC0496"/>
    <w:rsid w:val="00ED4336"/>
    <w:rsid w:val="00EF54B7"/>
    <w:rsid w:val="00F46078"/>
    <w:rsid w:val="00F570DB"/>
    <w:rsid w:val="00F57D17"/>
    <w:rsid w:val="00F75C37"/>
    <w:rsid w:val="00FD335C"/>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7068E"/>
  <w15:docId w15:val="{3FD381C3-A3D8-4E94-B1AB-9C292643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923C0"/>
    <w:pPr>
      <w:widowControl w:val="0"/>
      <w:spacing w:after="0" w:line="240" w:lineRule="auto"/>
      <w:ind w:left="11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63043"/>
    <w:pPr>
      <w:widowControl w:val="0"/>
      <w:spacing w:after="0" w:line="240" w:lineRule="auto"/>
    </w:pPr>
  </w:style>
  <w:style w:type="paragraph" w:customStyle="1" w:styleId="Default">
    <w:name w:val="Default"/>
    <w:rsid w:val="006630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3043"/>
    <w:pPr>
      <w:widowControl w:val="0"/>
      <w:spacing w:after="0" w:line="240" w:lineRule="auto"/>
    </w:pPr>
  </w:style>
  <w:style w:type="character" w:customStyle="1" w:styleId="Heading1Char">
    <w:name w:val="Heading 1 Char"/>
    <w:basedOn w:val="DefaultParagraphFont"/>
    <w:link w:val="Heading1"/>
    <w:uiPriority w:val="1"/>
    <w:rsid w:val="004923C0"/>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596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7A"/>
    <w:rPr>
      <w:rFonts w:ascii="Segoe UI" w:hAnsi="Segoe UI" w:cs="Segoe UI"/>
      <w:sz w:val="18"/>
      <w:szCs w:val="18"/>
    </w:rPr>
  </w:style>
  <w:style w:type="character" w:styleId="CommentReference">
    <w:name w:val="annotation reference"/>
    <w:basedOn w:val="DefaultParagraphFont"/>
    <w:uiPriority w:val="99"/>
    <w:semiHidden/>
    <w:unhideWhenUsed/>
    <w:rsid w:val="00131134"/>
    <w:rPr>
      <w:sz w:val="18"/>
      <w:szCs w:val="18"/>
    </w:rPr>
  </w:style>
  <w:style w:type="paragraph" w:styleId="CommentText">
    <w:name w:val="annotation text"/>
    <w:basedOn w:val="Normal"/>
    <w:link w:val="CommentTextChar"/>
    <w:uiPriority w:val="99"/>
    <w:semiHidden/>
    <w:unhideWhenUsed/>
    <w:rsid w:val="00131134"/>
    <w:pPr>
      <w:spacing w:line="240" w:lineRule="auto"/>
    </w:pPr>
    <w:rPr>
      <w:sz w:val="24"/>
      <w:szCs w:val="24"/>
    </w:rPr>
  </w:style>
  <w:style w:type="character" w:customStyle="1" w:styleId="CommentTextChar">
    <w:name w:val="Comment Text Char"/>
    <w:basedOn w:val="DefaultParagraphFont"/>
    <w:link w:val="CommentText"/>
    <w:uiPriority w:val="99"/>
    <w:semiHidden/>
    <w:rsid w:val="00131134"/>
    <w:rPr>
      <w:sz w:val="24"/>
      <w:szCs w:val="24"/>
    </w:rPr>
  </w:style>
  <w:style w:type="paragraph" w:styleId="CommentSubject">
    <w:name w:val="annotation subject"/>
    <w:basedOn w:val="CommentText"/>
    <w:next w:val="CommentText"/>
    <w:link w:val="CommentSubjectChar"/>
    <w:uiPriority w:val="99"/>
    <w:semiHidden/>
    <w:unhideWhenUsed/>
    <w:rsid w:val="00131134"/>
    <w:rPr>
      <w:b/>
      <w:bCs/>
      <w:sz w:val="20"/>
      <w:szCs w:val="20"/>
    </w:rPr>
  </w:style>
  <w:style w:type="character" w:customStyle="1" w:styleId="CommentSubjectChar">
    <w:name w:val="Comment Subject Char"/>
    <w:basedOn w:val="CommentTextChar"/>
    <w:link w:val="CommentSubject"/>
    <w:uiPriority w:val="99"/>
    <w:semiHidden/>
    <w:rsid w:val="00131134"/>
    <w:rPr>
      <w:b/>
      <w:bCs/>
      <w:sz w:val="20"/>
      <w:szCs w:val="20"/>
    </w:rPr>
  </w:style>
  <w:style w:type="character" w:styleId="Hyperlink">
    <w:name w:val="Hyperlink"/>
    <w:basedOn w:val="DefaultParagraphFont"/>
    <w:uiPriority w:val="99"/>
    <w:unhideWhenUsed/>
    <w:rsid w:val="006671D1"/>
    <w:rPr>
      <w:color w:val="0563C1" w:themeColor="hyperlink"/>
      <w:u w:val="single"/>
    </w:rPr>
  </w:style>
  <w:style w:type="paragraph" w:styleId="Header">
    <w:name w:val="header"/>
    <w:basedOn w:val="Normal"/>
    <w:link w:val="HeaderChar"/>
    <w:uiPriority w:val="99"/>
    <w:unhideWhenUsed/>
    <w:rsid w:val="00332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57"/>
  </w:style>
  <w:style w:type="paragraph" w:styleId="Footer">
    <w:name w:val="footer"/>
    <w:basedOn w:val="Normal"/>
    <w:link w:val="FooterChar"/>
    <w:uiPriority w:val="99"/>
    <w:unhideWhenUsed/>
    <w:rsid w:val="00332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ct.edu/ce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D4A1F-2FC6-4DC6-8862-7A05F18E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4327</Words>
  <Characters>24664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Mark D.(Professional Studies)</dc:creator>
  <cp:keywords/>
  <dc:description/>
  <cp:lastModifiedBy>Swaminathan, Sudha (Education)</cp:lastModifiedBy>
  <cp:revision>2</cp:revision>
  <cp:lastPrinted>2016-11-03T13:18:00Z</cp:lastPrinted>
  <dcterms:created xsi:type="dcterms:W3CDTF">2016-11-03T13:19:00Z</dcterms:created>
  <dcterms:modified xsi:type="dcterms:W3CDTF">2016-11-03T13:19:00Z</dcterms:modified>
</cp:coreProperties>
</file>