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B884" w14:textId="77777777" w:rsidR="00C44DB0" w:rsidRDefault="00052093" w:rsidP="00052093">
      <w:pPr>
        <w:jc w:val="center"/>
      </w:pPr>
      <w:bookmarkStart w:id="0" w:name="_GoBack"/>
      <w:bookmarkEnd w:id="0"/>
      <w:r>
        <w:t>Report on Minority Teacher Enrollment and Supply</w:t>
      </w:r>
    </w:p>
    <w:p w14:paraId="47FA7D2A" w14:textId="77777777" w:rsidR="00052093" w:rsidRDefault="00052093" w:rsidP="00052093">
      <w:pPr>
        <w:jc w:val="center"/>
      </w:pPr>
    </w:p>
    <w:p w14:paraId="6FA08C98" w14:textId="77777777" w:rsidR="00052093" w:rsidRDefault="00052093" w:rsidP="00052093">
      <w:pPr>
        <w:jc w:val="center"/>
      </w:pPr>
      <w:r>
        <w:t>Eastern Connecticut State University</w:t>
      </w:r>
    </w:p>
    <w:p w14:paraId="7D3EA956" w14:textId="77777777" w:rsidR="00052093" w:rsidRDefault="00052093" w:rsidP="00052093">
      <w:pPr>
        <w:jc w:val="center"/>
      </w:pPr>
    </w:p>
    <w:p w14:paraId="67F34DD6" w14:textId="77777777" w:rsidR="00052093" w:rsidRDefault="00052093" w:rsidP="00052093"/>
    <w:p w14:paraId="7BFE05D9" w14:textId="77777777" w:rsidR="00052093" w:rsidRDefault="00052093" w:rsidP="00052093"/>
    <w:p w14:paraId="63BF3C6D" w14:textId="431E49F7" w:rsidR="007E7E53" w:rsidRDefault="00052093" w:rsidP="00052093">
      <w:r>
        <w:t>The latest Integrated Postsecondary Educa</w:t>
      </w:r>
      <w:r w:rsidR="00807812">
        <w:t>tion Data System (IPEDS) report</w:t>
      </w:r>
      <w:r w:rsidR="001B4B98">
        <w:t xml:space="preserve"> for </w:t>
      </w:r>
      <w:r>
        <w:t xml:space="preserve">the </w:t>
      </w:r>
      <w:r w:rsidR="00E319B1">
        <w:t>S</w:t>
      </w:r>
      <w:r>
        <w:t>tate of Connecticut (2013-2014) reve</w:t>
      </w:r>
      <w:r w:rsidR="00E319B1">
        <w:t>a</w:t>
      </w:r>
      <w:r>
        <w:t xml:space="preserve">ls that </w:t>
      </w:r>
      <w:r w:rsidR="001B4B98">
        <w:t xml:space="preserve">of the 18 </w:t>
      </w:r>
      <w:r w:rsidR="00973A96">
        <w:t xml:space="preserve">teacher education </w:t>
      </w:r>
      <w:r w:rsidR="001B4B98" w:rsidRPr="00790CBD">
        <w:t>provide</w:t>
      </w:r>
      <w:r w:rsidR="00790CBD">
        <w:t>r</w:t>
      </w:r>
      <w:r w:rsidR="001B4B98" w:rsidRPr="00790CBD">
        <w:t>s</w:t>
      </w:r>
      <w:r w:rsidR="001B4B98">
        <w:t xml:space="preserve">, 3,558 candidates were enrolled. </w:t>
      </w:r>
      <w:r w:rsidR="00C34D49">
        <w:t xml:space="preserve">An analysis of </w:t>
      </w:r>
      <w:r w:rsidR="005215FC">
        <w:t xml:space="preserve">teacher education </w:t>
      </w:r>
      <w:r w:rsidR="00C34D49">
        <w:t xml:space="preserve">enrollment indicates that only 7% of matriculating candidates were racial/ethnic minority. This finding is similar to the </w:t>
      </w:r>
      <w:r w:rsidR="00796542">
        <w:t>rate among in-service minorit</w:t>
      </w:r>
      <w:r w:rsidR="005215FC">
        <w:t>y teachers across the state (</w:t>
      </w:r>
      <w:r w:rsidR="00796542">
        <w:t>which hover</w:t>
      </w:r>
      <w:r w:rsidR="005215FC">
        <w:t>s</w:t>
      </w:r>
      <w:r w:rsidR="00796542">
        <w:t xml:space="preserve"> around 7% annually</w:t>
      </w:r>
      <w:r w:rsidR="005215FC">
        <w:t>), indicating a persistent disproportionality.</w:t>
      </w:r>
      <w:r w:rsidR="000260F6">
        <w:t xml:space="preserve"> </w:t>
      </w:r>
    </w:p>
    <w:p w14:paraId="1256D8FF" w14:textId="77777777" w:rsidR="007E7E53" w:rsidRDefault="007E7E53" w:rsidP="00052093"/>
    <w:p w14:paraId="5B334061" w14:textId="29874A14" w:rsidR="00052093" w:rsidRDefault="007E7E53" w:rsidP="00052093">
      <w:r>
        <w:t>D</w:t>
      </w:r>
      <w:r w:rsidR="000260F6">
        <w:t xml:space="preserve">ata for Eastern Connecticut State University show that </w:t>
      </w:r>
      <w:r w:rsidR="005215FC">
        <w:t>Eastern</w:t>
      </w:r>
      <w:r w:rsidR="000260F6">
        <w:t xml:space="preserve"> increased its </w:t>
      </w:r>
      <w:r w:rsidR="00133FDE">
        <w:t xml:space="preserve">overall </w:t>
      </w:r>
      <w:r w:rsidR="000260F6">
        <w:t xml:space="preserve">percentage of minority teacher candidates from less than 5% in 2006 to </w:t>
      </w:r>
      <w:r>
        <w:t xml:space="preserve">13% in 2011, with an </w:t>
      </w:r>
      <w:r w:rsidR="005215FC">
        <w:t xml:space="preserve">overall </w:t>
      </w:r>
      <w:r>
        <w:t>average of 10% over the past three years (2014-2016).</w:t>
      </w:r>
    </w:p>
    <w:p w14:paraId="1EB3FEEE" w14:textId="77777777" w:rsidR="0003384A" w:rsidRDefault="0003384A" w:rsidP="00052093"/>
    <w:p w14:paraId="7A47A0C9" w14:textId="77777777" w:rsidR="0003384A" w:rsidRDefault="0003384A" w:rsidP="00052093"/>
    <w:p w14:paraId="28F0454B" w14:textId="77777777" w:rsidR="0003384A" w:rsidRPr="00052093" w:rsidRDefault="0003384A" w:rsidP="00052093">
      <w:pPr>
        <w:rPr>
          <w:i/>
        </w:rPr>
      </w:pPr>
    </w:p>
    <w:p w14:paraId="5839AE77" w14:textId="77777777" w:rsidR="00052093" w:rsidRDefault="00052093" w:rsidP="00052093">
      <w:pPr>
        <w:jc w:val="center"/>
      </w:pPr>
    </w:p>
    <w:p w14:paraId="37E6F448" w14:textId="77777777" w:rsidR="00052093" w:rsidRDefault="00052093" w:rsidP="00052093">
      <w:pPr>
        <w:jc w:val="center"/>
      </w:pPr>
    </w:p>
    <w:p w14:paraId="32363AF5" w14:textId="77777777" w:rsidR="00052093" w:rsidRDefault="00052093" w:rsidP="00052093"/>
    <w:p w14:paraId="587F8823" w14:textId="77777777" w:rsidR="0003384A" w:rsidRDefault="0003384A" w:rsidP="00052093"/>
    <w:p w14:paraId="2F96801B" w14:textId="77777777" w:rsidR="0003384A" w:rsidRDefault="0003384A" w:rsidP="00052093"/>
    <w:p w14:paraId="3BBD5A09" w14:textId="77777777" w:rsidR="0003384A" w:rsidRDefault="0003384A" w:rsidP="00052093"/>
    <w:p w14:paraId="6A33D705" w14:textId="77777777" w:rsidR="0003384A" w:rsidRDefault="0003384A" w:rsidP="00052093"/>
    <w:p w14:paraId="61CCCD28" w14:textId="77777777" w:rsidR="0003384A" w:rsidRDefault="0003384A" w:rsidP="00052093"/>
    <w:p w14:paraId="08E7586B" w14:textId="77777777" w:rsidR="0003384A" w:rsidRDefault="0003384A" w:rsidP="00052093"/>
    <w:p w14:paraId="2E37AF07" w14:textId="77777777" w:rsidR="0003384A" w:rsidRDefault="0003384A" w:rsidP="00052093"/>
    <w:p w14:paraId="29427530" w14:textId="77777777" w:rsidR="0003384A" w:rsidRDefault="0003384A" w:rsidP="00052093"/>
    <w:p w14:paraId="75967D83" w14:textId="77777777" w:rsidR="0003384A" w:rsidRDefault="0003384A" w:rsidP="00052093"/>
    <w:p w14:paraId="295A0AF2" w14:textId="77777777" w:rsidR="0003384A" w:rsidRDefault="0003384A" w:rsidP="00052093"/>
    <w:p w14:paraId="7E629F3B" w14:textId="77777777" w:rsidR="0003384A" w:rsidRDefault="0003384A" w:rsidP="00052093"/>
    <w:p w14:paraId="17276156" w14:textId="77777777" w:rsidR="00632452" w:rsidRDefault="00632452" w:rsidP="00052093"/>
    <w:p w14:paraId="5CCDDBA9" w14:textId="77777777" w:rsidR="00632452" w:rsidRDefault="00632452" w:rsidP="00052093"/>
    <w:p w14:paraId="6070BDCE" w14:textId="77777777" w:rsidR="00632452" w:rsidRDefault="00632452" w:rsidP="00052093"/>
    <w:p w14:paraId="602E78C0" w14:textId="77777777" w:rsidR="00632452" w:rsidRDefault="00632452" w:rsidP="00052093"/>
    <w:p w14:paraId="71DB53AF" w14:textId="77777777" w:rsidR="00632452" w:rsidRDefault="00632452" w:rsidP="00052093"/>
    <w:p w14:paraId="06265D09" w14:textId="77777777" w:rsidR="00632452" w:rsidRDefault="00632452" w:rsidP="00052093"/>
    <w:p w14:paraId="08CBCA82" w14:textId="77777777" w:rsidR="00632452" w:rsidRDefault="00632452" w:rsidP="00052093"/>
    <w:p w14:paraId="0D24A576" w14:textId="77777777" w:rsidR="00632452" w:rsidRDefault="00632452" w:rsidP="00052093"/>
    <w:p w14:paraId="51EC573D" w14:textId="77777777" w:rsidR="00632452" w:rsidRDefault="00632452" w:rsidP="00052093"/>
    <w:p w14:paraId="288398EA" w14:textId="77777777" w:rsidR="0003384A" w:rsidRDefault="0003384A" w:rsidP="00052093"/>
    <w:p w14:paraId="39D1C538" w14:textId="77777777" w:rsidR="00CA3F1F" w:rsidRDefault="00CA3F1F" w:rsidP="00052093"/>
    <w:p w14:paraId="4721E44B" w14:textId="4FBA560B" w:rsidR="00575F44" w:rsidRDefault="00575F44" w:rsidP="00575F44">
      <w:pPr>
        <w:jc w:val="center"/>
      </w:pPr>
      <w:r>
        <w:lastRenderedPageBreak/>
        <w:t>Eastern Connecticut State University</w:t>
      </w:r>
    </w:p>
    <w:p w14:paraId="3A83BA8A" w14:textId="77777777" w:rsidR="00575F44" w:rsidRDefault="00575F44" w:rsidP="00575F44">
      <w:pPr>
        <w:jc w:val="center"/>
      </w:pPr>
    </w:p>
    <w:tbl>
      <w:tblPr>
        <w:tblStyle w:val="TableGrid"/>
        <w:tblpPr w:leftFromText="180" w:rightFromText="180" w:vertAnchor="page" w:horzAnchor="margin" w:tblpXSpec="center" w:tblpY="2102"/>
        <w:tblW w:w="5403" w:type="dxa"/>
        <w:tblLook w:val="04A0" w:firstRow="1" w:lastRow="0" w:firstColumn="1" w:lastColumn="0" w:noHBand="0" w:noVBand="1"/>
      </w:tblPr>
      <w:tblGrid>
        <w:gridCol w:w="2065"/>
        <w:gridCol w:w="1440"/>
        <w:gridCol w:w="1898"/>
      </w:tblGrid>
      <w:tr w:rsidR="00575F44" w:rsidRPr="00312B51" w14:paraId="0004036C" w14:textId="77777777" w:rsidTr="00575F44">
        <w:trPr>
          <w:trHeight w:val="315"/>
        </w:trPr>
        <w:tc>
          <w:tcPr>
            <w:tcW w:w="5403" w:type="dxa"/>
            <w:gridSpan w:val="3"/>
            <w:noWrap/>
            <w:hideMark/>
          </w:tcPr>
          <w:p w14:paraId="53CD24A7" w14:textId="77777777" w:rsidR="00575F44" w:rsidRPr="00312B51" w:rsidRDefault="00575F44" w:rsidP="00575F44">
            <w:pPr>
              <w:jc w:val="center"/>
            </w:pPr>
            <w:r w:rsidRPr="00312B51">
              <w:t>Total Percentage of Minority vs. Non-Minority Enrollment In Teacher Preparation Programs</w:t>
            </w:r>
          </w:p>
        </w:tc>
      </w:tr>
      <w:tr w:rsidR="00575F44" w:rsidRPr="00312B51" w14:paraId="6548FD70" w14:textId="77777777" w:rsidTr="00575F44">
        <w:trPr>
          <w:trHeight w:val="300"/>
        </w:trPr>
        <w:tc>
          <w:tcPr>
            <w:tcW w:w="2065" w:type="dxa"/>
            <w:noWrap/>
          </w:tcPr>
          <w:p w14:paraId="3503F72A" w14:textId="77777777" w:rsidR="00575F44" w:rsidRPr="00312B51" w:rsidRDefault="00575F44" w:rsidP="00575F4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742DD12F" w14:textId="77777777" w:rsidR="00575F44" w:rsidRPr="00312B51" w:rsidRDefault="00575F44" w:rsidP="00575F44">
            <w:pPr>
              <w:jc w:val="center"/>
              <w:rPr>
                <w:b/>
                <w:bCs/>
              </w:rPr>
            </w:pPr>
          </w:p>
        </w:tc>
        <w:tc>
          <w:tcPr>
            <w:tcW w:w="1898" w:type="dxa"/>
            <w:noWrap/>
          </w:tcPr>
          <w:p w14:paraId="1CBEF851" w14:textId="77777777" w:rsidR="00575F44" w:rsidRPr="00312B51" w:rsidRDefault="00575F44" w:rsidP="00575F44">
            <w:pPr>
              <w:jc w:val="center"/>
            </w:pPr>
          </w:p>
        </w:tc>
      </w:tr>
      <w:tr w:rsidR="00575F44" w:rsidRPr="00312B51" w14:paraId="27417FE0" w14:textId="77777777" w:rsidTr="00575F44">
        <w:trPr>
          <w:trHeight w:val="300"/>
        </w:trPr>
        <w:tc>
          <w:tcPr>
            <w:tcW w:w="2065" w:type="dxa"/>
            <w:noWrap/>
            <w:hideMark/>
          </w:tcPr>
          <w:p w14:paraId="3C2F8C80" w14:textId="77777777" w:rsidR="00575F44" w:rsidRPr="00570D6B" w:rsidRDefault="00575F44" w:rsidP="00575F44">
            <w:pPr>
              <w:jc w:val="center"/>
              <w:rPr>
                <w:bCs/>
              </w:rPr>
            </w:pPr>
            <w:r w:rsidRPr="00570D6B">
              <w:rPr>
                <w:bCs/>
              </w:rPr>
              <w:t>Year(s)</w:t>
            </w:r>
          </w:p>
        </w:tc>
        <w:tc>
          <w:tcPr>
            <w:tcW w:w="1440" w:type="dxa"/>
            <w:noWrap/>
            <w:hideMark/>
          </w:tcPr>
          <w:p w14:paraId="072DEA0A" w14:textId="77777777" w:rsidR="00575F44" w:rsidRPr="00570D6B" w:rsidRDefault="00575F44" w:rsidP="00575F44">
            <w:pPr>
              <w:jc w:val="center"/>
              <w:rPr>
                <w:bCs/>
              </w:rPr>
            </w:pPr>
            <w:r w:rsidRPr="00570D6B">
              <w:rPr>
                <w:bCs/>
              </w:rPr>
              <w:t>Minority %</w:t>
            </w:r>
          </w:p>
        </w:tc>
        <w:tc>
          <w:tcPr>
            <w:tcW w:w="1898" w:type="dxa"/>
            <w:noWrap/>
            <w:hideMark/>
          </w:tcPr>
          <w:p w14:paraId="07782574" w14:textId="77777777" w:rsidR="00575F44" w:rsidRPr="00570D6B" w:rsidRDefault="00575F44" w:rsidP="00575F44">
            <w:pPr>
              <w:jc w:val="center"/>
            </w:pPr>
            <w:r w:rsidRPr="00570D6B">
              <w:t>Non-Minority %</w:t>
            </w:r>
          </w:p>
        </w:tc>
      </w:tr>
      <w:tr w:rsidR="00575F44" w:rsidRPr="00312B51" w14:paraId="2831107B" w14:textId="77777777" w:rsidTr="00575F44">
        <w:trPr>
          <w:trHeight w:val="300"/>
        </w:trPr>
        <w:tc>
          <w:tcPr>
            <w:tcW w:w="2065" w:type="dxa"/>
            <w:noWrap/>
            <w:hideMark/>
          </w:tcPr>
          <w:p w14:paraId="16D378B6" w14:textId="77777777" w:rsidR="00575F44" w:rsidRPr="00570D6B" w:rsidRDefault="00575F44" w:rsidP="00575F44">
            <w:pPr>
              <w:jc w:val="center"/>
            </w:pPr>
            <w:r w:rsidRPr="00570D6B">
              <w:t>2006</w:t>
            </w:r>
          </w:p>
        </w:tc>
        <w:tc>
          <w:tcPr>
            <w:tcW w:w="1440" w:type="dxa"/>
            <w:noWrap/>
            <w:hideMark/>
          </w:tcPr>
          <w:p w14:paraId="49CAAAC5" w14:textId="77777777" w:rsidR="00575F44" w:rsidRPr="00570D6B" w:rsidRDefault="00575F44" w:rsidP="00575F44">
            <w:pPr>
              <w:jc w:val="center"/>
            </w:pPr>
            <w:r w:rsidRPr="00570D6B">
              <w:t>4.95</w:t>
            </w:r>
          </w:p>
        </w:tc>
        <w:tc>
          <w:tcPr>
            <w:tcW w:w="1898" w:type="dxa"/>
            <w:noWrap/>
            <w:hideMark/>
          </w:tcPr>
          <w:p w14:paraId="7F061A6F" w14:textId="77777777" w:rsidR="00575F44" w:rsidRPr="00570D6B" w:rsidRDefault="00575F44" w:rsidP="00575F44">
            <w:pPr>
              <w:jc w:val="center"/>
            </w:pPr>
            <w:r w:rsidRPr="00570D6B">
              <w:t>95.05</w:t>
            </w:r>
          </w:p>
        </w:tc>
      </w:tr>
      <w:tr w:rsidR="00575F44" w:rsidRPr="00312B51" w14:paraId="49674430" w14:textId="77777777" w:rsidTr="00575F44">
        <w:trPr>
          <w:trHeight w:val="300"/>
        </w:trPr>
        <w:tc>
          <w:tcPr>
            <w:tcW w:w="2065" w:type="dxa"/>
            <w:noWrap/>
          </w:tcPr>
          <w:p w14:paraId="7D5217C5" w14:textId="77777777" w:rsidR="00575F44" w:rsidRPr="00312B51" w:rsidRDefault="00575F44" w:rsidP="00575F44">
            <w:pPr>
              <w:jc w:val="center"/>
            </w:pPr>
            <w:r>
              <w:t>2014-2016 (mean)</w:t>
            </w:r>
          </w:p>
        </w:tc>
        <w:tc>
          <w:tcPr>
            <w:tcW w:w="1440" w:type="dxa"/>
            <w:noWrap/>
          </w:tcPr>
          <w:p w14:paraId="5166DFA5" w14:textId="77777777" w:rsidR="00575F44" w:rsidRPr="00312B51" w:rsidRDefault="00575F44" w:rsidP="00575F44">
            <w:pPr>
              <w:jc w:val="center"/>
            </w:pPr>
            <w:r>
              <w:t>10</w:t>
            </w:r>
          </w:p>
        </w:tc>
        <w:tc>
          <w:tcPr>
            <w:tcW w:w="1898" w:type="dxa"/>
            <w:noWrap/>
          </w:tcPr>
          <w:p w14:paraId="729E992D" w14:textId="77777777" w:rsidR="00575F44" w:rsidRPr="00312B51" w:rsidRDefault="00575F44" w:rsidP="00575F44">
            <w:pPr>
              <w:jc w:val="center"/>
            </w:pPr>
            <w:r>
              <w:t>90</w:t>
            </w:r>
          </w:p>
        </w:tc>
      </w:tr>
    </w:tbl>
    <w:p w14:paraId="6155E529" w14:textId="293EA37B" w:rsidR="00570D6B" w:rsidRDefault="00570D6B" w:rsidP="00052093"/>
    <w:p w14:paraId="3E2D70ED" w14:textId="7EE73A45" w:rsidR="005C4B31" w:rsidRDefault="005C4B31" w:rsidP="00052093"/>
    <w:p w14:paraId="70520A56" w14:textId="060EC49D" w:rsidR="005C4B31" w:rsidRDefault="005C4B31" w:rsidP="00052093"/>
    <w:p w14:paraId="3EA44D39" w14:textId="5AAFCAD5" w:rsidR="006257CE" w:rsidRDefault="006257CE" w:rsidP="00052093"/>
    <w:p w14:paraId="5F5DAAF9" w14:textId="11381053" w:rsidR="006257CE" w:rsidRDefault="006257CE" w:rsidP="00052093"/>
    <w:p w14:paraId="2775045A" w14:textId="027CABF4" w:rsidR="006257CE" w:rsidRDefault="006257CE" w:rsidP="00052093"/>
    <w:p w14:paraId="4F34A7C4" w14:textId="56D8662F" w:rsidR="006257CE" w:rsidRDefault="006257CE" w:rsidP="00052093"/>
    <w:p w14:paraId="3214F773" w14:textId="29B06736" w:rsidR="006257CE" w:rsidRDefault="006257CE" w:rsidP="00052093"/>
    <w:p w14:paraId="6965CA2C" w14:textId="6F745842" w:rsidR="006257CE" w:rsidRDefault="00575F44" w:rsidP="00052093">
      <w:r>
        <w:rPr>
          <w:noProof/>
        </w:rPr>
        <w:drawing>
          <wp:anchor distT="0" distB="0" distL="114300" distR="114300" simplePos="0" relativeHeight="251662336" behindDoc="0" locked="0" layoutInCell="1" allowOverlap="1" wp14:anchorId="7CC24A70" wp14:editId="06E02FD7">
            <wp:simplePos x="0" y="0"/>
            <wp:positionH relativeFrom="column">
              <wp:posOffset>2000885</wp:posOffset>
            </wp:positionH>
            <wp:positionV relativeFrom="paragraph">
              <wp:posOffset>54087</wp:posOffset>
            </wp:positionV>
            <wp:extent cx="4109085" cy="3173095"/>
            <wp:effectExtent l="0" t="0" r="5715" b="825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9DA32" w14:textId="69C57B80" w:rsidR="006257CE" w:rsidRDefault="006257CE" w:rsidP="00052093"/>
    <w:p w14:paraId="72046C54" w14:textId="787CFE44" w:rsidR="006257CE" w:rsidRDefault="006257CE" w:rsidP="00052093"/>
    <w:p w14:paraId="2EBCCD40" w14:textId="1C47B25F" w:rsidR="006257CE" w:rsidRDefault="006257CE" w:rsidP="00052093"/>
    <w:p w14:paraId="1C1AE37F" w14:textId="38477D9E" w:rsidR="006257CE" w:rsidRDefault="006257CE" w:rsidP="00052093"/>
    <w:p w14:paraId="4E965168" w14:textId="5B99D60E" w:rsidR="006257CE" w:rsidRDefault="006257CE" w:rsidP="00052093"/>
    <w:p w14:paraId="47295251" w14:textId="367FC8F3" w:rsidR="00A91F75" w:rsidRDefault="00A91F75" w:rsidP="00052093"/>
    <w:p w14:paraId="1747C58B" w14:textId="5F4CF628" w:rsidR="00A91F75" w:rsidRDefault="00575F44" w:rsidP="00052093">
      <w:r>
        <w:rPr>
          <w:noProof/>
        </w:rPr>
        <w:drawing>
          <wp:anchor distT="0" distB="0" distL="114300" distR="114300" simplePos="0" relativeHeight="251660288" behindDoc="0" locked="0" layoutInCell="1" allowOverlap="1" wp14:anchorId="40D34F2B" wp14:editId="6B4F9B68">
            <wp:simplePos x="0" y="0"/>
            <wp:positionH relativeFrom="column">
              <wp:posOffset>-226060</wp:posOffset>
            </wp:positionH>
            <wp:positionV relativeFrom="paragraph">
              <wp:posOffset>215377</wp:posOffset>
            </wp:positionV>
            <wp:extent cx="2226310" cy="1710055"/>
            <wp:effectExtent l="0" t="0" r="889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2305A" w14:textId="77777777" w:rsidR="00A91F75" w:rsidRDefault="00A91F75" w:rsidP="00052093"/>
    <w:p w14:paraId="32B5B1C8" w14:textId="77777777" w:rsidR="00A91F75" w:rsidRDefault="00A91F75" w:rsidP="00052093"/>
    <w:p w14:paraId="7F720B43" w14:textId="77777777" w:rsidR="00A91F75" w:rsidRDefault="00A91F75" w:rsidP="00052093"/>
    <w:p w14:paraId="5526FFBA" w14:textId="77777777" w:rsidR="00A91F75" w:rsidRDefault="00A91F75" w:rsidP="00052093"/>
    <w:p w14:paraId="542D5C1C" w14:textId="77777777" w:rsidR="00A91F75" w:rsidRDefault="00A91F75" w:rsidP="00052093"/>
    <w:p w14:paraId="6B337A55" w14:textId="77777777" w:rsidR="00A91F75" w:rsidRDefault="00A91F75" w:rsidP="00052093"/>
    <w:p w14:paraId="30E8F8C1" w14:textId="77777777" w:rsidR="00A91F75" w:rsidRDefault="00A91F75" w:rsidP="00052093"/>
    <w:p w14:paraId="749BD0E9" w14:textId="77777777" w:rsidR="00A91F75" w:rsidRDefault="00A91F75" w:rsidP="00052093"/>
    <w:p w14:paraId="18AA81D1" w14:textId="77777777" w:rsidR="00A91F75" w:rsidRDefault="00A91F75" w:rsidP="00052093"/>
    <w:p w14:paraId="6042FC7A" w14:textId="77777777" w:rsidR="00A91F75" w:rsidRDefault="00A91F75" w:rsidP="00052093"/>
    <w:p w14:paraId="04DCAE17" w14:textId="77777777" w:rsidR="00A91F75" w:rsidRDefault="00A91F75" w:rsidP="00052093"/>
    <w:p w14:paraId="097A33BD" w14:textId="77777777" w:rsidR="00575F44" w:rsidRDefault="00575F44" w:rsidP="00052093"/>
    <w:p w14:paraId="301F9F92" w14:textId="77777777" w:rsidR="00575F44" w:rsidRDefault="00575F44" w:rsidP="00052093"/>
    <w:p w14:paraId="48396993" w14:textId="77777777" w:rsidR="00575F44" w:rsidRDefault="00575F44" w:rsidP="00052093"/>
    <w:p w14:paraId="5D93F575" w14:textId="77777777" w:rsidR="00575F44" w:rsidRDefault="00575F44" w:rsidP="00052093"/>
    <w:p w14:paraId="103C672B" w14:textId="77777777" w:rsidR="00575F44" w:rsidRDefault="00575F44" w:rsidP="00052093"/>
    <w:p w14:paraId="784E920B" w14:textId="77777777" w:rsidR="00575F44" w:rsidRDefault="00575F44" w:rsidP="00052093"/>
    <w:p w14:paraId="79459D63" w14:textId="77777777" w:rsidR="00575F44" w:rsidRDefault="00575F44" w:rsidP="00052093"/>
    <w:p w14:paraId="7EB3E6A8" w14:textId="77777777" w:rsidR="00575F44" w:rsidRDefault="00575F44" w:rsidP="00052093"/>
    <w:p w14:paraId="56A4B96F" w14:textId="77777777" w:rsidR="00575F44" w:rsidRDefault="00575F44" w:rsidP="00052093"/>
    <w:p w14:paraId="086AC1A7" w14:textId="77777777" w:rsidR="00575F44" w:rsidRDefault="00575F44" w:rsidP="00052093"/>
    <w:p w14:paraId="0293CD7B" w14:textId="77777777" w:rsidR="00575F44" w:rsidRDefault="00575F44" w:rsidP="00052093"/>
    <w:p w14:paraId="7B3EA8CB" w14:textId="77777777" w:rsidR="00575F44" w:rsidRDefault="00575F44" w:rsidP="00052093"/>
    <w:p w14:paraId="2DDE6E08" w14:textId="77777777" w:rsidR="00575F44" w:rsidRDefault="00575F44" w:rsidP="00052093"/>
    <w:p w14:paraId="4930043E" w14:textId="77777777" w:rsidR="00575F44" w:rsidRDefault="00575F44" w:rsidP="00052093"/>
    <w:p w14:paraId="521FA879" w14:textId="77777777" w:rsidR="00575F44" w:rsidRDefault="00575F44" w:rsidP="00052093"/>
    <w:p w14:paraId="238EFDA7" w14:textId="65A1FDF5" w:rsidR="00575F44" w:rsidRDefault="00575F44" w:rsidP="00575F44">
      <w:pPr>
        <w:jc w:val="center"/>
      </w:pPr>
      <w:r>
        <w:lastRenderedPageBreak/>
        <w:t>Eastern Connecticut State University</w:t>
      </w:r>
    </w:p>
    <w:p w14:paraId="55923903" w14:textId="77777777" w:rsidR="00575F44" w:rsidRDefault="00575F44" w:rsidP="00052093"/>
    <w:p w14:paraId="35AB2D66" w14:textId="74D9DFCC" w:rsidR="00A91F75" w:rsidRDefault="00AB0922" w:rsidP="00052093">
      <w:r>
        <w:rPr>
          <w:noProof/>
        </w:rPr>
        <w:drawing>
          <wp:inline distT="0" distB="0" distL="0" distR="0" wp14:anchorId="656B916A" wp14:editId="044F7738">
            <wp:extent cx="5943600" cy="4254500"/>
            <wp:effectExtent l="0" t="0" r="0" b="12700"/>
            <wp:docPr id="1" name="Chart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AE7298" w14:textId="30FA497D" w:rsidR="00A91F75" w:rsidRDefault="00A91F75" w:rsidP="00052093"/>
    <w:p w14:paraId="77BDED8D" w14:textId="1684403A" w:rsidR="006257CE" w:rsidRDefault="006257CE" w:rsidP="00052093"/>
    <w:p w14:paraId="4C4F3435" w14:textId="6448ED37" w:rsidR="006257CE" w:rsidRDefault="006257CE" w:rsidP="00052093"/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940"/>
        <w:gridCol w:w="1083"/>
        <w:gridCol w:w="1133"/>
        <w:gridCol w:w="940"/>
      </w:tblGrid>
      <w:tr w:rsidR="00A91F75" w:rsidRPr="00A91F75" w14:paraId="78E1B95F" w14:textId="77777777" w:rsidTr="00A91F75">
        <w:trPr>
          <w:trHeight w:val="300"/>
        </w:trPr>
        <w:tc>
          <w:tcPr>
            <w:tcW w:w="940" w:type="dxa"/>
            <w:noWrap/>
            <w:hideMark/>
          </w:tcPr>
          <w:p w14:paraId="5C9E71EA" w14:textId="77777777" w:rsidR="00A91F75" w:rsidRPr="00A91F75" w:rsidRDefault="00A91F75" w:rsidP="00A91F75"/>
        </w:tc>
        <w:tc>
          <w:tcPr>
            <w:tcW w:w="1083" w:type="dxa"/>
            <w:noWrap/>
            <w:hideMark/>
          </w:tcPr>
          <w:p w14:paraId="45851047" w14:textId="77777777" w:rsidR="00A91F75" w:rsidRPr="00A91F75" w:rsidRDefault="00A91F75" w:rsidP="00A91F75">
            <w:r w:rsidRPr="00A91F75">
              <w:t>Undergr.</w:t>
            </w:r>
          </w:p>
        </w:tc>
        <w:tc>
          <w:tcPr>
            <w:tcW w:w="1133" w:type="dxa"/>
            <w:noWrap/>
            <w:hideMark/>
          </w:tcPr>
          <w:p w14:paraId="1CCE3E59" w14:textId="77777777" w:rsidR="00A91F75" w:rsidRPr="00A91F75" w:rsidRDefault="00A91F75" w:rsidP="00A91F75">
            <w:r w:rsidRPr="00A91F75">
              <w:t>Graduate</w:t>
            </w:r>
          </w:p>
        </w:tc>
        <w:tc>
          <w:tcPr>
            <w:tcW w:w="940" w:type="dxa"/>
            <w:noWrap/>
            <w:hideMark/>
          </w:tcPr>
          <w:p w14:paraId="2F3AABE8" w14:textId="77777777" w:rsidR="00A91F75" w:rsidRPr="00A91F75" w:rsidRDefault="00A91F75" w:rsidP="00A91F75">
            <w:r w:rsidRPr="00A91F75">
              <w:t>Total</w:t>
            </w:r>
          </w:p>
        </w:tc>
      </w:tr>
      <w:tr w:rsidR="00A91F75" w:rsidRPr="00A91F75" w14:paraId="5353BD62" w14:textId="77777777" w:rsidTr="00A91F75">
        <w:trPr>
          <w:trHeight w:val="300"/>
        </w:trPr>
        <w:tc>
          <w:tcPr>
            <w:tcW w:w="940" w:type="dxa"/>
            <w:noWrap/>
            <w:hideMark/>
          </w:tcPr>
          <w:p w14:paraId="06916667" w14:textId="77777777" w:rsidR="00A91F75" w:rsidRPr="00A91F75" w:rsidRDefault="00A91F75" w:rsidP="00A91F75">
            <w:r w:rsidRPr="00A91F75">
              <w:t>fall 06</w:t>
            </w:r>
          </w:p>
        </w:tc>
        <w:tc>
          <w:tcPr>
            <w:tcW w:w="1083" w:type="dxa"/>
            <w:noWrap/>
            <w:hideMark/>
          </w:tcPr>
          <w:p w14:paraId="13123EAF" w14:textId="77777777" w:rsidR="00A91F75" w:rsidRPr="00A91F75" w:rsidRDefault="00A91F75" w:rsidP="00A91F75">
            <w:r w:rsidRPr="00A91F75">
              <w:t>6%</w:t>
            </w:r>
          </w:p>
        </w:tc>
        <w:tc>
          <w:tcPr>
            <w:tcW w:w="1133" w:type="dxa"/>
            <w:noWrap/>
            <w:hideMark/>
          </w:tcPr>
          <w:p w14:paraId="3DFB7B11" w14:textId="77777777" w:rsidR="00A91F75" w:rsidRPr="00A91F75" w:rsidRDefault="00A91F75" w:rsidP="00A91F75">
            <w:r w:rsidRPr="00A91F75">
              <w:t>4%</w:t>
            </w:r>
          </w:p>
        </w:tc>
        <w:tc>
          <w:tcPr>
            <w:tcW w:w="940" w:type="dxa"/>
            <w:noWrap/>
            <w:hideMark/>
          </w:tcPr>
          <w:p w14:paraId="73AD1D8E" w14:textId="77777777" w:rsidR="00A91F75" w:rsidRPr="00A91F75" w:rsidRDefault="00A91F75" w:rsidP="00A91F75">
            <w:r w:rsidRPr="00A91F75">
              <w:t>5%</w:t>
            </w:r>
          </w:p>
        </w:tc>
      </w:tr>
      <w:tr w:rsidR="00A91F75" w:rsidRPr="00A91F75" w14:paraId="031EE740" w14:textId="77777777" w:rsidTr="00A91F75">
        <w:trPr>
          <w:trHeight w:val="300"/>
        </w:trPr>
        <w:tc>
          <w:tcPr>
            <w:tcW w:w="940" w:type="dxa"/>
            <w:noWrap/>
            <w:hideMark/>
          </w:tcPr>
          <w:p w14:paraId="4E95288D" w14:textId="77777777" w:rsidR="00A91F75" w:rsidRPr="00A91F75" w:rsidRDefault="00A91F75" w:rsidP="00A91F75">
            <w:r w:rsidRPr="00A91F75">
              <w:t>fall 11</w:t>
            </w:r>
          </w:p>
        </w:tc>
        <w:tc>
          <w:tcPr>
            <w:tcW w:w="1083" w:type="dxa"/>
            <w:noWrap/>
            <w:hideMark/>
          </w:tcPr>
          <w:p w14:paraId="4B417BCB" w14:textId="77777777" w:rsidR="00A91F75" w:rsidRPr="00A91F75" w:rsidRDefault="00A91F75" w:rsidP="00A91F75">
            <w:r w:rsidRPr="00A91F75">
              <w:t>7%</w:t>
            </w:r>
          </w:p>
        </w:tc>
        <w:tc>
          <w:tcPr>
            <w:tcW w:w="1133" w:type="dxa"/>
            <w:noWrap/>
            <w:hideMark/>
          </w:tcPr>
          <w:p w14:paraId="2A36FB08" w14:textId="77777777" w:rsidR="00A91F75" w:rsidRPr="00A91F75" w:rsidRDefault="00A91F75" w:rsidP="00A91F75">
            <w:r w:rsidRPr="00A91F75">
              <w:t>9%</w:t>
            </w:r>
          </w:p>
        </w:tc>
        <w:tc>
          <w:tcPr>
            <w:tcW w:w="940" w:type="dxa"/>
            <w:noWrap/>
            <w:hideMark/>
          </w:tcPr>
          <w:p w14:paraId="1A49250B" w14:textId="77777777" w:rsidR="00A91F75" w:rsidRPr="00A91F75" w:rsidRDefault="00A91F75" w:rsidP="00A91F75">
            <w:r w:rsidRPr="00A91F75">
              <w:t>8%</w:t>
            </w:r>
          </w:p>
        </w:tc>
      </w:tr>
      <w:tr w:rsidR="00A91F75" w:rsidRPr="00A91F75" w14:paraId="0CA19BAF" w14:textId="77777777" w:rsidTr="00A91F75">
        <w:trPr>
          <w:trHeight w:val="300"/>
        </w:trPr>
        <w:tc>
          <w:tcPr>
            <w:tcW w:w="940" w:type="dxa"/>
            <w:noWrap/>
            <w:hideMark/>
          </w:tcPr>
          <w:p w14:paraId="539A23F8" w14:textId="77777777" w:rsidR="00A91F75" w:rsidRPr="00A91F75" w:rsidRDefault="00A91F75" w:rsidP="00A91F75">
            <w:r w:rsidRPr="00A91F75">
              <w:t>fall 14</w:t>
            </w:r>
          </w:p>
        </w:tc>
        <w:tc>
          <w:tcPr>
            <w:tcW w:w="1083" w:type="dxa"/>
            <w:noWrap/>
            <w:hideMark/>
          </w:tcPr>
          <w:p w14:paraId="5B62B0E5" w14:textId="77777777" w:rsidR="00A91F75" w:rsidRPr="00A91F75" w:rsidRDefault="00A91F75" w:rsidP="00A91F75">
            <w:r w:rsidRPr="00A91F75">
              <w:t>10%</w:t>
            </w:r>
          </w:p>
        </w:tc>
        <w:tc>
          <w:tcPr>
            <w:tcW w:w="1133" w:type="dxa"/>
            <w:noWrap/>
            <w:hideMark/>
          </w:tcPr>
          <w:p w14:paraId="74291CD3" w14:textId="77777777" w:rsidR="00A91F75" w:rsidRPr="00A91F75" w:rsidRDefault="00A91F75" w:rsidP="00A91F75">
            <w:r w:rsidRPr="00A91F75">
              <w:t>11%</w:t>
            </w:r>
          </w:p>
        </w:tc>
        <w:tc>
          <w:tcPr>
            <w:tcW w:w="940" w:type="dxa"/>
            <w:noWrap/>
            <w:hideMark/>
          </w:tcPr>
          <w:p w14:paraId="6843D079" w14:textId="77777777" w:rsidR="00A91F75" w:rsidRPr="00A91F75" w:rsidRDefault="00A91F75" w:rsidP="00A91F75">
            <w:r w:rsidRPr="00A91F75">
              <w:t>11%</w:t>
            </w:r>
          </w:p>
        </w:tc>
      </w:tr>
      <w:tr w:rsidR="00A91F75" w:rsidRPr="00A91F75" w14:paraId="76EB9907" w14:textId="77777777" w:rsidTr="00A91F75">
        <w:trPr>
          <w:trHeight w:val="300"/>
        </w:trPr>
        <w:tc>
          <w:tcPr>
            <w:tcW w:w="940" w:type="dxa"/>
            <w:noWrap/>
            <w:hideMark/>
          </w:tcPr>
          <w:p w14:paraId="2EDE475E" w14:textId="77777777" w:rsidR="00A91F75" w:rsidRPr="00A91F75" w:rsidRDefault="00A91F75" w:rsidP="00A91F75">
            <w:r w:rsidRPr="00A91F75">
              <w:t>fall 15</w:t>
            </w:r>
          </w:p>
        </w:tc>
        <w:tc>
          <w:tcPr>
            <w:tcW w:w="1083" w:type="dxa"/>
            <w:noWrap/>
            <w:hideMark/>
          </w:tcPr>
          <w:p w14:paraId="20649CDE" w14:textId="77777777" w:rsidR="00A91F75" w:rsidRPr="00A91F75" w:rsidRDefault="00A91F75" w:rsidP="00A91F75">
            <w:r w:rsidRPr="00A91F75">
              <w:t>9%</w:t>
            </w:r>
          </w:p>
        </w:tc>
        <w:tc>
          <w:tcPr>
            <w:tcW w:w="1133" w:type="dxa"/>
            <w:noWrap/>
            <w:hideMark/>
          </w:tcPr>
          <w:p w14:paraId="4EE2C192" w14:textId="77777777" w:rsidR="00A91F75" w:rsidRPr="00A91F75" w:rsidRDefault="00A91F75" w:rsidP="00A91F75">
            <w:r w:rsidRPr="00A91F75">
              <w:t>8%</w:t>
            </w:r>
          </w:p>
        </w:tc>
        <w:tc>
          <w:tcPr>
            <w:tcW w:w="940" w:type="dxa"/>
            <w:noWrap/>
            <w:hideMark/>
          </w:tcPr>
          <w:p w14:paraId="6C28DE78" w14:textId="77777777" w:rsidR="00A91F75" w:rsidRPr="00A91F75" w:rsidRDefault="00A91F75" w:rsidP="00A91F75">
            <w:r w:rsidRPr="00A91F75">
              <w:t>9%</w:t>
            </w:r>
          </w:p>
        </w:tc>
      </w:tr>
      <w:tr w:rsidR="00A91F75" w:rsidRPr="00A91F75" w14:paraId="3ED1B97E" w14:textId="77777777" w:rsidTr="00A91F75">
        <w:trPr>
          <w:trHeight w:val="300"/>
        </w:trPr>
        <w:tc>
          <w:tcPr>
            <w:tcW w:w="940" w:type="dxa"/>
            <w:noWrap/>
            <w:hideMark/>
          </w:tcPr>
          <w:p w14:paraId="475A9010" w14:textId="77777777" w:rsidR="00A91F75" w:rsidRPr="00A91F75" w:rsidRDefault="00A91F75" w:rsidP="00A91F75">
            <w:r w:rsidRPr="00A91F75">
              <w:t>fall 16</w:t>
            </w:r>
          </w:p>
        </w:tc>
        <w:tc>
          <w:tcPr>
            <w:tcW w:w="1083" w:type="dxa"/>
            <w:noWrap/>
            <w:hideMark/>
          </w:tcPr>
          <w:p w14:paraId="78558CA7" w14:textId="77777777" w:rsidR="00A91F75" w:rsidRPr="00A91F75" w:rsidRDefault="00A91F75" w:rsidP="00A91F75">
            <w:r w:rsidRPr="00A91F75">
              <w:t>9%</w:t>
            </w:r>
          </w:p>
        </w:tc>
        <w:tc>
          <w:tcPr>
            <w:tcW w:w="1133" w:type="dxa"/>
            <w:noWrap/>
            <w:hideMark/>
          </w:tcPr>
          <w:p w14:paraId="0501D084" w14:textId="77777777" w:rsidR="00A91F75" w:rsidRPr="00A91F75" w:rsidRDefault="00A91F75" w:rsidP="00A91F75">
            <w:r w:rsidRPr="00A91F75">
              <w:t>13%</w:t>
            </w:r>
          </w:p>
        </w:tc>
        <w:tc>
          <w:tcPr>
            <w:tcW w:w="940" w:type="dxa"/>
            <w:noWrap/>
            <w:hideMark/>
          </w:tcPr>
          <w:p w14:paraId="31A91685" w14:textId="77777777" w:rsidR="00A91F75" w:rsidRPr="00A91F75" w:rsidRDefault="00A91F75" w:rsidP="00A91F75">
            <w:r w:rsidRPr="00A91F75">
              <w:t>10%</w:t>
            </w:r>
          </w:p>
        </w:tc>
      </w:tr>
    </w:tbl>
    <w:p w14:paraId="1592A402" w14:textId="48DBD4F5" w:rsidR="006257CE" w:rsidRDefault="006257CE" w:rsidP="00052093"/>
    <w:p w14:paraId="35AA9088" w14:textId="000034DA" w:rsidR="006257CE" w:rsidRDefault="006257CE" w:rsidP="00052093"/>
    <w:p w14:paraId="6B7786E6" w14:textId="76DA8770" w:rsidR="006257CE" w:rsidRDefault="006257CE" w:rsidP="00052093"/>
    <w:p w14:paraId="637F090F" w14:textId="74B3217C" w:rsidR="006257CE" w:rsidRDefault="006257CE" w:rsidP="00052093"/>
    <w:p w14:paraId="1B8B66AF" w14:textId="56C6C7C1" w:rsidR="006257CE" w:rsidRDefault="006257CE" w:rsidP="00052093"/>
    <w:p w14:paraId="4DEF0012" w14:textId="77777777" w:rsidR="006257CE" w:rsidRDefault="006257CE" w:rsidP="00052093"/>
    <w:p w14:paraId="64E28ABA" w14:textId="69F34527" w:rsidR="006257CE" w:rsidRDefault="006257CE" w:rsidP="00052093"/>
    <w:p w14:paraId="61F0F9C1" w14:textId="77777777" w:rsidR="006257CE" w:rsidRDefault="006257CE" w:rsidP="00052093"/>
    <w:p w14:paraId="1EC39D00" w14:textId="77777777" w:rsidR="00AB0922" w:rsidRDefault="00AB0922" w:rsidP="00052093"/>
    <w:p w14:paraId="516AC7CA" w14:textId="77777777" w:rsidR="00AB0922" w:rsidRDefault="00AB0922" w:rsidP="00052093"/>
    <w:p w14:paraId="087F7278" w14:textId="77777777" w:rsidR="00AB0922" w:rsidRDefault="00AB0922" w:rsidP="00052093"/>
    <w:p w14:paraId="1C571028" w14:textId="77777777" w:rsidR="00AB0922" w:rsidRDefault="00AB0922" w:rsidP="00052093"/>
    <w:p w14:paraId="5313889A" w14:textId="77777777" w:rsidR="00AB0922" w:rsidRDefault="00AB0922" w:rsidP="00052093"/>
    <w:p w14:paraId="2F6C4D05" w14:textId="77777777" w:rsidR="00AB0922" w:rsidRDefault="00AB0922" w:rsidP="00052093"/>
    <w:p w14:paraId="68D380D2" w14:textId="77777777" w:rsidR="00AB0922" w:rsidRDefault="00AB0922" w:rsidP="00052093"/>
    <w:p w14:paraId="1501E77C" w14:textId="77777777" w:rsidR="00AB0922" w:rsidRDefault="00AB0922" w:rsidP="00052093"/>
    <w:p w14:paraId="5C67C89F" w14:textId="12987FFD" w:rsidR="00AB0922" w:rsidRDefault="00575F44" w:rsidP="00575F44">
      <w:pPr>
        <w:jc w:val="center"/>
      </w:pPr>
      <w:r>
        <w:t>Eastern Connecticut State University</w:t>
      </w:r>
    </w:p>
    <w:p w14:paraId="14886809" w14:textId="77777777" w:rsidR="00AB0922" w:rsidRDefault="00AB0922" w:rsidP="00052093"/>
    <w:p w14:paraId="73A235E3" w14:textId="529FDF8F" w:rsidR="00AB0922" w:rsidRDefault="00AB0922" w:rsidP="00052093">
      <w:r>
        <w:rPr>
          <w:noProof/>
        </w:rPr>
        <w:drawing>
          <wp:inline distT="0" distB="0" distL="0" distR="0" wp14:anchorId="5A50416C" wp14:editId="11197CC3">
            <wp:extent cx="6035040" cy="4195482"/>
            <wp:effectExtent l="0" t="0" r="3810" b="14605"/>
            <wp:docPr id="2" name="Chart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mv="urn:schemas-microsoft-com:mac:vml" xmlns:mo="http://schemas.microsoft.com/office/mac/office/2008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8989AA" w14:textId="24BF96B1" w:rsidR="008E2109" w:rsidRDefault="008E2109" w:rsidP="00052093"/>
    <w:p w14:paraId="5FA7D7C7" w14:textId="77777777" w:rsidR="00C80422" w:rsidRDefault="00C80422" w:rsidP="00052093"/>
    <w:p w14:paraId="1122E01B" w14:textId="77777777" w:rsidR="00AB0922" w:rsidRDefault="00AB0922" w:rsidP="00052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3"/>
        <w:gridCol w:w="1133"/>
        <w:gridCol w:w="940"/>
      </w:tblGrid>
      <w:tr w:rsidR="00AB0922" w:rsidRPr="00AB0922" w14:paraId="042F4796" w14:textId="77777777" w:rsidTr="00C80422">
        <w:trPr>
          <w:trHeight w:val="300"/>
        </w:trPr>
        <w:tc>
          <w:tcPr>
            <w:tcW w:w="1075" w:type="dxa"/>
            <w:noWrap/>
            <w:hideMark/>
          </w:tcPr>
          <w:p w14:paraId="7FB21882" w14:textId="77777777" w:rsidR="00AB0922" w:rsidRPr="00AB0922" w:rsidRDefault="00AB0922"/>
        </w:tc>
        <w:tc>
          <w:tcPr>
            <w:tcW w:w="948" w:type="dxa"/>
            <w:noWrap/>
            <w:hideMark/>
          </w:tcPr>
          <w:p w14:paraId="6E632DE2" w14:textId="77777777" w:rsidR="00AB0922" w:rsidRPr="00AB0922" w:rsidRDefault="00AB0922">
            <w:r w:rsidRPr="00AB0922">
              <w:t>Undergr.</w:t>
            </w:r>
          </w:p>
        </w:tc>
        <w:tc>
          <w:tcPr>
            <w:tcW w:w="1133" w:type="dxa"/>
            <w:noWrap/>
            <w:hideMark/>
          </w:tcPr>
          <w:p w14:paraId="6DE41E46" w14:textId="77777777" w:rsidR="00AB0922" w:rsidRPr="00AB0922" w:rsidRDefault="00AB0922">
            <w:r w:rsidRPr="00AB0922">
              <w:t>Graduate</w:t>
            </w:r>
          </w:p>
        </w:tc>
        <w:tc>
          <w:tcPr>
            <w:tcW w:w="940" w:type="dxa"/>
            <w:noWrap/>
            <w:hideMark/>
          </w:tcPr>
          <w:p w14:paraId="636A6847" w14:textId="77777777" w:rsidR="00AB0922" w:rsidRPr="00AB0922" w:rsidRDefault="00AB0922">
            <w:r w:rsidRPr="00AB0922">
              <w:t>Total</w:t>
            </w:r>
          </w:p>
        </w:tc>
      </w:tr>
      <w:tr w:rsidR="00AB0922" w:rsidRPr="00AB0922" w14:paraId="44C12F8C" w14:textId="77777777" w:rsidTr="00C80422">
        <w:trPr>
          <w:trHeight w:val="300"/>
        </w:trPr>
        <w:tc>
          <w:tcPr>
            <w:tcW w:w="1075" w:type="dxa"/>
            <w:noWrap/>
            <w:hideMark/>
          </w:tcPr>
          <w:p w14:paraId="24D9E62A" w14:textId="77777777" w:rsidR="00AB0922" w:rsidRPr="00AB0922" w:rsidRDefault="00AB0922">
            <w:r w:rsidRPr="00AB0922">
              <w:t>2005-06</w:t>
            </w:r>
          </w:p>
        </w:tc>
        <w:tc>
          <w:tcPr>
            <w:tcW w:w="948" w:type="dxa"/>
            <w:noWrap/>
            <w:hideMark/>
          </w:tcPr>
          <w:p w14:paraId="565F943A" w14:textId="77777777" w:rsidR="00AB0922" w:rsidRPr="00AB0922" w:rsidRDefault="00AB0922" w:rsidP="00AB0922">
            <w:r w:rsidRPr="00AB0922">
              <w:t>4%</w:t>
            </w:r>
          </w:p>
        </w:tc>
        <w:tc>
          <w:tcPr>
            <w:tcW w:w="1133" w:type="dxa"/>
            <w:noWrap/>
            <w:hideMark/>
          </w:tcPr>
          <w:p w14:paraId="2BC64D0A" w14:textId="77777777" w:rsidR="00AB0922" w:rsidRPr="00AB0922" w:rsidRDefault="00AB0922" w:rsidP="00AB0922">
            <w:r w:rsidRPr="00AB0922">
              <w:t>5%</w:t>
            </w:r>
          </w:p>
        </w:tc>
        <w:tc>
          <w:tcPr>
            <w:tcW w:w="940" w:type="dxa"/>
            <w:noWrap/>
            <w:hideMark/>
          </w:tcPr>
          <w:p w14:paraId="7186358C" w14:textId="77777777" w:rsidR="00AB0922" w:rsidRPr="00AB0922" w:rsidRDefault="00AB0922" w:rsidP="00AB0922">
            <w:r w:rsidRPr="00AB0922">
              <w:t>4%</w:t>
            </w:r>
          </w:p>
        </w:tc>
      </w:tr>
      <w:tr w:rsidR="00AB0922" w:rsidRPr="00AB0922" w14:paraId="1486AA72" w14:textId="77777777" w:rsidTr="00C80422">
        <w:trPr>
          <w:trHeight w:val="300"/>
        </w:trPr>
        <w:tc>
          <w:tcPr>
            <w:tcW w:w="1075" w:type="dxa"/>
            <w:noWrap/>
            <w:hideMark/>
          </w:tcPr>
          <w:p w14:paraId="4249F915" w14:textId="77777777" w:rsidR="00AB0922" w:rsidRPr="00AB0922" w:rsidRDefault="00AB0922">
            <w:r w:rsidRPr="00AB0922">
              <w:t>2010-11</w:t>
            </w:r>
          </w:p>
        </w:tc>
        <w:tc>
          <w:tcPr>
            <w:tcW w:w="948" w:type="dxa"/>
            <w:noWrap/>
            <w:hideMark/>
          </w:tcPr>
          <w:p w14:paraId="2AE571B2" w14:textId="77777777" w:rsidR="00AB0922" w:rsidRPr="00AB0922" w:rsidRDefault="00AB0922" w:rsidP="00AB0922">
            <w:r w:rsidRPr="00AB0922">
              <w:t>4%</w:t>
            </w:r>
          </w:p>
        </w:tc>
        <w:tc>
          <w:tcPr>
            <w:tcW w:w="1133" w:type="dxa"/>
            <w:noWrap/>
            <w:hideMark/>
          </w:tcPr>
          <w:p w14:paraId="3F47960D" w14:textId="77777777" w:rsidR="00AB0922" w:rsidRPr="00AB0922" w:rsidRDefault="00AB0922" w:rsidP="00AB0922">
            <w:r w:rsidRPr="00AB0922">
              <w:t>4%</w:t>
            </w:r>
          </w:p>
        </w:tc>
        <w:tc>
          <w:tcPr>
            <w:tcW w:w="940" w:type="dxa"/>
            <w:noWrap/>
            <w:hideMark/>
          </w:tcPr>
          <w:p w14:paraId="38544924" w14:textId="77777777" w:rsidR="00AB0922" w:rsidRPr="00AB0922" w:rsidRDefault="00AB0922" w:rsidP="00AB0922">
            <w:r w:rsidRPr="00AB0922">
              <w:t>4%</w:t>
            </w:r>
          </w:p>
        </w:tc>
      </w:tr>
      <w:tr w:rsidR="00AB0922" w:rsidRPr="00AB0922" w14:paraId="02E90D61" w14:textId="77777777" w:rsidTr="00C80422">
        <w:trPr>
          <w:trHeight w:val="300"/>
        </w:trPr>
        <w:tc>
          <w:tcPr>
            <w:tcW w:w="1075" w:type="dxa"/>
            <w:noWrap/>
            <w:hideMark/>
          </w:tcPr>
          <w:p w14:paraId="0D458C04" w14:textId="77777777" w:rsidR="00AB0922" w:rsidRPr="00AB0922" w:rsidRDefault="00AB0922">
            <w:r w:rsidRPr="00AB0922">
              <w:t>2013-14</w:t>
            </w:r>
          </w:p>
        </w:tc>
        <w:tc>
          <w:tcPr>
            <w:tcW w:w="948" w:type="dxa"/>
            <w:noWrap/>
            <w:hideMark/>
          </w:tcPr>
          <w:p w14:paraId="40193C8F" w14:textId="77777777" w:rsidR="00AB0922" w:rsidRPr="00AB0922" w:rsidRDefault="00AB0922" w:rsidP="00AB0922">
            <w:r w:rsidRPr="00AB0922">
              <w:t>7%</w:t>
            </w:r>
          </w:p>
        </w:tc>
        <w:tc>
          <w:tcPr>
            <w:tcW w:w="1133" w:type="dxa"/>
            <w:noWrap/>
            <w:hideMark/>
          </w:tcPr>
          <w:p w14:paraId="23352240" w14:textId="77777777" w:rsidR="00AB0922" w:rsidRPr="00AB0922" w:rsidRDefault="00AB0922" w:rsidP="00AB0922">
            <w:r w:rsidRPr="00AB0922">
              <w:t>11%</w:t>
            </w:r>
          </w:p>
        </w:tc>
        <w:tc>
          <w:tcPr>
            <w:tcW w:w="940" w:type="dxa"/>
            <w:noWrap/>
            <w:hideMark/>
          </w:tcPr>
          <w:p w14:paraId="486FC518" w14:textId="77777777" w:rsidR="00AB0922" w:rsidRPr="00AB0922" w:rsidRDefault="00AB0922" w:rsidP="00AB0922">
            <w:r w:rsidRPr="00AB0922">
              <w:t>8%</w:t>
            </w:r>
          </w:p>
        </w:tc>
      </w:tr>
      <w:tr w:rsidR="00AB0922" w:rsidRPr="00AB0922" w14:paraId="32A87D92" w14:textId="77777777" w:rsidTr="00C80422">
        <w:trPr>
          <w:trHeight w:val="300"/>
        </w:trPr>
        <w:tc>
          <w:tcPr>
            <w:tcW w:w="1075" w:type="dxa"/>
            <w:noWrap/>
            <w:hideMark/>
          </w:tcPr>
          <w:p w14:paraId="41B2E5AE" w14:textId="77777777" w:rsidR="00AB0922" w:rsidRPr="00AB0922" w:rsidRDefault="00AB0922">
            <w:r w:rsidRPr="00AB0922">
              <w:t>2014-15</w:t>
            </w:r>
          </w:p>
        </w:tc>
        <w:tc>
          <w:tcPr>
            <w:tcW w:w="948" w:type="dxa"/>
            <w:noWrap/>
            <w:hideMark/>
          </w:tcPr>
          <w:p w14:paraId="07221AD6" w14:textId="77777777" w:rsidR="00AB0922" w:rsidRPr="00AB0922" w:rsidRDefault="00AB0922" w:rsidP="00AB0922">
            <w:r w:rsidRPr="00AB0922">
              <w:t>13%</w:t>
            </w:r>
          </w:p>
        </w:tc>
        <w:tc>
          <w:tcPr>
            <w:tcW w:w="1133" w:type="dxa"/>
            <w:noWrap/>
            <w:hideMark/>
          </w:tcPr>
          <w:p w14:paraId="426C26F5" w14:textId="77777777" w:rsidR="00AB0922" w:rsidRPr="00AB0922" w:rsidRDefault="00AB0922" w:rsidP="00AB0922">
            <w:r w:rsidRPr="00AB0922">
              <w:t>6%</w:t>
            </w:r>
          </w:p>
        </w:tc>
        <w:tc>
          <w:tcPr>
            <w:tcW w:w="940" w:type="dxa"/>
            <w:noWrap/>
            <w:hideMark/>
          </w:tcPr>
          <w:p w14:paraId="4A1F6D14" w14:textId="77777777" w:rsidR="00AB0922" w:rsidRPr="00AB0922" w:rsidRDefault="00AB0922" w:rsidP="00AB0922">
            <w:r w:rsidRPr="00AB0922">
              <w:t>10%</w:t>
            </w:r>
          </w:p>
        </w:tc>
      </w:tr>
      <w:tr w:rsidR="00AB0922" w:rsidRPr="00AB0922" w14:paraId="259168B0" w14:textId="77777777" w:rsidTr="00C80422">
        <w:trPr>
          <w:trHeight w:val="300"/>
        </w:trPr>
        <w:tc>
          <w:tcPr>
            <w:tcW w:w="1075" w:type="dxa"/>
            <w:noWrap/>
            <w:hideMark/>
          </w:tcPr>
          <w:p w14:paraId="04E613B3" w14:textId="77777777" w:rsidR="00AB0922" w:rsidRPr="00AB0922" w:rsidRDefault="00AB0922">
            <w:r w:rsidRPr="00AB0922">
              <w:t>2015-16</w:t>
            </w:r>
          </w:p>
        </w:tc>
        <w:tc>
          <w:tcPr>
            <w:tcW w:w="948" w:type="dxa"/>
            <w:noWrap/>
            <w:hideMark/>
          </w:tcPr>
          <w:p w14:paraId="098E5C59" w14:textId="77777777" w:rsidR="00AB0922" w:rsidRPr="00AB0922" w:rsidRDefault="00AB0922" w:rsidP="00AB0922">
            <w:r w:rsidRPr="00AB0922">
              <w:t>9%</w:t>
            </w:r>
          </w:p>
        </w:tc>
        <w:tc>
          <w:tcPr>
            <w:tcW w:w="1133" w:type="dxa"/>
            <w:noWrap/>
            <w:hideMark/>
          </w:tcPr>
          <w:p w14:paraId="35797D27" w14:textId="77777777" w:rsidR="00AB0922" w:rsidRPr="00AB0922" w:rsidRDefault="00AB0922" w:rsidP="00AB0922">
            <w:r w:rsidRPr="00AB0922">
              <w:t>4%</w:t>
            </w:r>
          </w:p>
        </w:tc>
        <w:tc>
          <w:tcPr>
            <w:tcW w:w="940" w:type="dxa"/>
            <w:noWrap/>
            <w:hideMark/>
          </w:tcPr>
          <w:p w14:paraId="10C30B33" w14:textId="77777777" w:rsidR="00AB0922" w:rsidRPr="00AB0922" w:rsidRDefault="00AB0922" w:rsidP="00AB0922">
            <w:r w:rsidRPr="00AB0922">
              <w:t>8%</w:t>
            </w:r>
          </w:p>
        </w:tc>
      </w:tr>
    </w:tbl>
    <w:p w14:paraId="19D40D60" w14:textId="77777777" w:rsidR="00AB0922" w:rsidRDefault="00AB0922" w:rsidP="00052093"/>
    <w:sectPr w:rsidR="00AB0922" w:rsidSect="006324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C417" w14:textId="77777777" w:rsidR="00AB0922" w:rsidRDefault="00AB0922" w:rsidP="00AB0922">
      <w:r>
        <w:separator/>
      </w:r>
    </w:p>
  </w:endnote>
  <w:endnote w:type="continuationSeparator" w:id="0">
    <w:p w14:paraId="525C515E" w14:textId="77777777" w:rsidR="00AB0922" w:rsidRDefault="00AB0922" w:rsidP="00A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39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3E17" w14:textId="23639BA6" w:rsidR="00431ED3" w:rsidRDefault="00431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4F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0AA016A9" w14:textId="77777777" w:rsidR="00431ED3" w:rsidRDefault="00431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0B48" w14:textId="77777777" w:rsidR="00AB0922" w:rsidRDefault="00AB0922" w:rsidP="00AB0922">
      <w:r>
        <w:separator/>
      </w:r>
    </w:p>
  </w:footnote>
  <w:footnote w:type="continuationSeparator" w:id="0">
    <w:p w14:paraId="58CC6903" w14:textId="77777777" w:rsidR="00AB0922" w:rsidRDefault="00AB0922" w:rsidP="00A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260F6"/>
    <w:rsid w:val="0003384A"/>
    <w:rsid w:val="00052093"/>
    <w:rsid w:val="000F2136"/>
    <w:rsid w:val="00133FDE"/>
    <w:rsid w:val="00167A12"/>
    <w:rsid w:val="001861FF"/>
    <w:rsid w:val="001B4B98"/>
    <w:rsid w:val="002D63C2"/>
    <w:rsid w:val="00312B51"/>
    <w:rsid w:val="003A11A3"/>
    <w:rsid w:val="00431ED3"/>
    <w:rsid w:val="00506DDE"/>
    <w:rsid w:val="005215FC"/>
    <w:rsid w:val="00570D6B"/>
    <w:rsid w:val="00575F44"/>
    <w:rsid w:val="005C4B31"/>
    <w:rsid w:val="005D236D"/>
    <w:rsid w:val="006257CE"/>
    <w:rsid w:val="006274F3"/>
    <w:rsid w:val="00632452"/>
    <w:rsid w:val="006C5F9F"/>
    <w:rsid w:val="00753A24"/>
    <w:rsid w:val="00790CBD"/>
    <w:rsid w:val="00796542"/>
    <w:rsid w:val="007E7E53"/>
    <w:rsid w:val="00807812"/>
    <w:rsid w:val="0084153C"/>
    <w:rsid w:val="008E2109"/>
    <w:rsid w:val="0092341D"/>
    <w:rsid w:val="009468BE"/>
    <w:rsid w:val="00973A96"/>
    <w:rsid w:val="009D27AA"/>
    <w:rsid w:val="00A91F75"/>
    <w:rsid w:val="00AB0922"/>
    <w:rsid w:val="00C34D49"/>
    <w:rsid w:val="00C44DB0"/>
    <w:rsid w:val="00C6128F"/>
    <w:rsid w:val="00C80422"/>
    <w:rsid w:val="00CA3F1F"/>
    <w:rsid w:val="00DA008E"/>
    <w:rsid w:val="00E319B1"/>
    <w:rsid w:val="00EC37FF"/>
    <w:rsid w:val="00FA7C81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02FA"/>
  <w15:docId w15:val="{C09801FA-4A99-4429-A5E3-A3C8401F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22"/>
  </w:style>
  <w:style w:type="paragraph" w:styleId="Footer">
    <w:name w:val="footer"/>
    <w:basedOn w:val="Normal"/>
    <w:link w:val="FooterChar"/>
    <w:uiPriority w:val="99"/>
    <w:unhideWhenUsed/>
    <w:rsid w:val="00AB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Mean for 2014-2016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'2014-2016 pie chart'!$B$3:$C$3</c:f>
              <c:strCache>
                <c:ptCount val="2"/>
                <c:pt idx="0">
                  <c:v>Minority %</c:v>
                </c:pt>
                <c:pt idx="1">
                  <c:v>Non-Minority %</c:v>
                </c:pt>
              </c:strCache>
            </c:strRef>
          </c:cat>
          <c:val>
            <c:numRef>
              <c:f>'2014-2016 pie chart'!$B$4:$C$4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2006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7.3776787599211205E-2"/>
                  <c:y val="-1.8497650660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6954422340105403E-2"/>
                  <c:y val="-0.14155743528716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'2006 pie chart'!$B$3:$C$3</c:f>
              <c:strCache>
                <c:ptCount val="2"/>
                <c:pt idx="0">
                  <c:v>Minority %</c:v>
                </c:pt>
                <c:pt idx="1">
                  <c:v>Non-Minority %</c:v>
                </c:pt>
              </c:strCache>
            </c:strRef>
          </c:cat>
          <c:val>
            <c:numRef>
              <c:f>'2006 pie chart'!$B$4:$C$4</c:f>
              <c:numCache>
                <c:formatCode>General</c:formatCode>
                <c:ptCount val="2"/>
                <c:pt idx="0">
                  <c:v>4.95</c:v>
                </c:pt>
                <c:pt idx="1">
                  <c:v>95.05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Undergraduate and Graduate</a:t>
            </a:r>
            <a:r>
              <a:rPr lang="en-US" baseline="0"/>
              <a:t> Minority Enrollment in Education, fall 06 – fall 16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'enrollment graph'!$B$1</c:f>
              <c:strCache>
                <c:ptCount val="1"/>
                <c:pt idx="0">
                  <c:v>Undergr.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'enrollment graph'!$A$2:$A$6</c:f>
              <c:strCache>
                <c:ptCount val="5"/>
                <c:pt idx="0">
                  <c:v>fall 06</c:v>
                </c:pt>
                <c:pt idx="1">
                  <c:v>fall 11</c:v>
                </c:pt>
                <c:pt idx="2">
                  <c:v>fall 14</c:v>
                </c:pt>
                <c:pt idx="3">
                  <c:v>fall 15</c:v>
                </c:pt>
                <c:pt idx="4">
                  <c:v>fall 16</c:v>
                </c:pt>
              </c:strCache>
            </c:strRef>
          </c:cat>
          <c:val>
            <c:numRef>
              <c:f>'enrollment graph'!$B$2:$B$6</c:f>
              <c:numCache>
                <c:formatCode>0%</c:formatCode>
                <c:ptCount val="5"/>
                <c:pt idx="0">
                  <c:v>5.5555555555555497E-2</c:v>
                </c:pt>
                <c:pt idx="1">
                  <c:v>6.7632850241545903E-2</c:v>
                </c:pt>
                <c:pt idx="2">
                  <c:v>0.103825136612022</c:v>
                </c:pt>
                <c:pt idx="3">
                  <c:v>9.03954802259887E-2</c:v>
                </c:pt>
                <c:pt idx="4">
                  <c:v>8.7719298245614002E-2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98A-48DB-861E-2441E4BBC2CB}"/>
            </c:ext>
          </c:extLst>
        </c:ser>
        <c:ser>
          <c:idx val="1"/>
          <c:order val="1"/>
          <c:tx>
            <c:strRef>
              <c:f>'enrollment graph'!$C$1</c:f>
              <c:strCache>
                <c:ptCount val="1"/>
                <c:pt idx="0">
                  <c:v>Graduate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'enrollment graph'!$A$2:$A$6</c:f>
              <c:strCache>
                <c:ptCount val="5"/>
                <c:pt idx="0">
                  <c:v>fall 06</c:v>
                </c:pt>
                <c:pt idx="1">
                  <c:v>fall 11</c:v>
                </c:pt>
                <c:pt idx="2">
                  <c:v>fall 14</c:v>
                </c:pt>
                <c:pt idx="3">
                  <c:v>fall 15</c:v>
                </c:pt>
                <c:pt idx="4">
                  <c:v>fall 16</c:v>
                </c:pt>
              </c:strCache>
            </c:strRef>
          </c:cat>
          <c:val>
            <c:numRef>
              <c:f>'enrollment graph'!$C$2:$C$6</c:f>
              <c:numCache>
                <c:formatCode>0%</c:formatCode>
                <c:ptCount val="5"/>
                <c:pt idx="0">
                  <c:v>4.4692737430167599E-2</c:v>
                </c:pt>
                <c:pt idx="1">
                  <c:v>9.375E-2</c:v>
                </c:pt>
                <c:pt idx="2">
                  <c:v>0.112903225806452</c:v>
                </c:pt>
                <c:pt idx="3">
                  <c:v>8.4507042253521097E-2</c:v>
                </c:pt>
                <c:pt idx="4">
                  <c:v>0.12903225806451599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98A-48DB-861E-2441E4BBC2CB}"/>
            </c:ext>
          </c:extLst>
        </c:ser>
        <c:ser>
          <c:idx val="2"/>
          <c:order val="2"/>
          <c:tx>
            <c:strRef>
              <c:f>'enrollment graph'!$D$1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'enrollment graph'!$A$2:$A$6</c:f>
              <c:strCache>
                <c:ptCount val="5"/>
                <c:pt idx="0">
                  <c:v>fall 06</c:v>
                </c:pt>
                <c:pt idx="1">
                  <c:v>fall 11</c:v>
                </c:pt>
                <c:pt idx="2">
                  <c:v>fall 14</c:v>
                </c:pt>
                <c:pt idx="3">
                  <c:v>fall 15</c:v>
                </c:pt>
                <c:pt idx="4">
                  <c:v>fall 16</c:v>
                </c:pt>
              </c:strCache>
            </c:strRef>
          </c:cat>
          <c:val>
            <c:numRef>
              <c:f>'enrollment graph'!$D$2:$D$6</c:f>
              <c:numCache>
                <c:formatCode>0%</c:formatCode>
                <c:ptCount val="5"/>
                <c:pt idx="0">
                  <c:v>4.9535603715170302E-2</c:v>
                </c:pt>
                <c:pt idx="1">
                  <c:v>7.7611940298507501E-2</c:v>
                </c:pt>
                <c:pt idx="2">
                  <c:v>0.106122448979592</c:v>
                </c:pt>
                <c:pt idx="3">
                  <c:v>8.8709677419354802E-2</c:v>
                </c:pt>
                <c:pt idx="4">
                  <c:v>0.102272727272727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98A-48DB-861E-2441E4BBC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4724280"/>
        <c:axId val="424724672"/>
      </c:lineChart>
      <c:catAx>
        <c:axId val="42472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724672"/>
        <c:crosses val="autoZero"/>
        <c:auto val="1"/>
        <c:lblAlgn val="ctr"/>
        <c:lblOffset val="100"/>
        <c:noMultiLvlLbl val="0"/>
      </c:catAx>
      <c:valAx>
        <c:axId val="42472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724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Undergraduate and Graduate</a:t>
            </a:r>
            <a:r>
              <a:rPr lang="en-US" baseline="0"/>
              <a:t> Minority Completions in Education, 2005-06 to 2015-16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'completions graph'!$B$1</c:f>
              <c:strCache>
                <c:ptCount val="1"/>
                <c:pt idx="0">
                  <c:v>Undergr.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'completions graph'!$A$2:$A$6</c:f>
              <c:strCache>
                <c:ptCount val="5"/>
                <c:pt idx="0">
                  <c:v>2005-06</c:v>
                </c:pt>
                <c:pt idx="1">
                  <c:v>2010-11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'completions graph'!$B$2:$B$6</c:f>
              <c:numCache>
                <c:formatCode>0%</c:formatCode>
                <c:ptCount val="5"/>
                <c:pt idx="0">
                  <c:v>3.8461538461538498E-2</c:v>
                </c:pt>
                <c:pt idx="1">
                  <c:v>3.6144578313252997E-2</c:v>
                </c:pt>
                <c:pt idx="2">
                  <c:v>7.0000000000000007E-2</c:v>
                </c:pt>
                <c:pt idx="3">
                  <c:v>0.13043478260869601</c:v>
                </c:pt>
                <c:pt idx="4">
                  <c:v>8.8888888888888906E-2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E-4603-BA4A-D8CE94452787}"/>
            </c:ext>
          </c:extLst>
        </c:ser>
        <c:ser>
          <c:idx val="1"/>
          <c:order val="1"/>
          <c:tx>
            <c:strRef>
              <c:f>'completions graph'!$C$1</c:f>
              <c:strCache>
                <c:ptCount val="1"/>
                <c:pt idx="0">
                  <c:v>Graduate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'completions graph'!$A$2:$A$6</c:f>
              <c:strCache>
                <c:ptCount val="5"/>
                <c:pt idx="0">
                  <c:v>2005-06</c:v>
                </c:pt>
                <c:pt idx="1">
                  <c:v>2010-11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'completions graph'!$C$2:$C$6</c:f>
              <c:numCache>
                <c:formatCode>0%</c:formatCode>
                <c:ptCount val="5"/>
                <c:pt idx="0">
                  <c:v>5.3571428571428603E-2</c:v>
                </c:pt>
                <c:pt idx="1">
                  <c:v>3.77358490566038E-2</c:v>
                </c:pt>
                <c:pt idx="2">
                  <c:v>0.11111111111111099</c:v>
                </c:pt>
                <c:pt idx="3">
                  <c:v>6.4516129032258104E-2</c:v>
                </c:pt>
                <c:pt idx="4">
                  <c:v>3.5714285714285698E-2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E-4603-BA4A-D8CE94452787}"/>
            </c:ext>
          </c:extLst>
        </c:ser>
        <c:ser>
          <c:idx val="2"/>
          <c:order val="2"/>
          <c:tx>
            <c:strRef>
              <c:f>'completions graph'!$D$1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'completions graph'!$A$2:$A$6</c:f>
              <c:strCache>
                <c:ptCount val="5"/>
                <c:pt idx="0">
                  <c:v>2005-06</c:v>
                </c:pt>
                <c:pt idx="1">
                  <c:v>2010-11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'completions graph'!$D$2:$D$6</c:f>
              <c:numCache>
                <c:formatCode>0%</c:formatCode>
                <c:ptCount val="5"/>
                <c:pt idx="0">
                  <c:v>4.3749999999999997E-2</c:v>
                </c:pt>
                <c:pt idx="1">
                  <c:v>3.6764705882352901E-2</c:v>
                </c:pt>
                <c:pt idx="2">
                  <c:v>7.6271186440677999E-2</c:v>
                </c:pt>
                <c:pt idx="3">
                  <c:v>0.103896103896104</c:v>
                </c:pt>
                <c:pt idx="4">
                  <c:v>7.6271186440677999E-2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E-4603-BA4A-D8CE94452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6810864"/>
        <c:axId val="286809688"/>
      </c:lineChart>
      <c:catAx>
        <c:axId val="28681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809688"/>
        <c:crosses val="autoZero"/>
        <c:auto val="1"/>
        <c:lblAlgn val="ctr"/>
        <c:lblOffset val="100"/>
        <c:noMultiLvlLbl val="0"/>
      </c:catAx>
      <c:valAx>
        <c:axId val="286809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81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Easley II</dc:creator>
  <cp:keywords/>
  <dc:description/>
  <cp:lastModifiedBy>Swaminathan, Sudha (Education)</cp:lastModifiedBy>
  <cp:revision>2</cp:revision>
  <cp:lastPrinted>2016-10-31T20:16:00Z</cp:lastPrinted>
  <dcterms:created xsi:type="dcterms:W3CDTF">2016-11-02T16:19:00Z</dcterms:created>
  <dcterms:modified xsi:type="dcterms:W3CDTF">2016-11-02T16:19:00Z</dcterms:modified>
</cp:coreProperties>
</file>