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33" w:rsidRDefault="00DE1C33" w:rsidP="006A6580">
      <w:pPr>
        <w:spacing w:after="120"/>
        <w:jc w:val="center"/>
        <w:rPr>
          <w:b/>
        </w:rPr>
      </w:pPr>
      <w:r>
        <w:rPr>
          <w:b/>
        </w:rPr>
        <w:t>Secondary Math SPA Key Assessment</w:t>
      </w:r>
    </w:p>
    <w:p w:rsidR="00DE1C33" w:rsidRDefault="00DE1C33" w:rsidP="006A6580">
      <w:pPr>
        <w:spacing w:after="120"/>
        <w:jc w:val="center"/>
        <w:rPr>
          <w:b/>
        </w:rPr>
      </w:pPr>
      <w:r>
        <w:rPr>
          <w:b/>
        </w:rPr>
        <w:t>Re-aligned to NCTM 2012 Standards</w:t>
      </w:r>
    </w:p>
    <w:p w:rsidR="002374FB" w:rsidRDefault="002374FB" w:rsidP="006A6580">
      <w:pPr>
        <w:spacing w:after="120"/>
        <w:jc w:val="center"/>
        <w:rPr>
          <w:b/>
        </w:rPr>
      </w:pPr>
      <w:bookmarkStart w:id="0" w:name="_GoBack"/>
      <w:bookmarkEnd w:id="0"/>
      <w:r w:rsidRPr="00B829FA">
        <w:rPr>
          <w:b/>
        </w:rPr>
        <w:t xml:space="preserve">Student Teaching </w:t>
      </w:r>
      <w:r w:rsidR="005C5D43" w:rsidRPr="00B829FA">
        <w:rPr>
          <w:b/>
        </w:rPr>
        <w:t xml:space="preserve">Impact </w:t>
      </w:r>
      <w:r w:rsidR="008E16BE" w:rsidRPr="00B829FA">
        <w:rPr>
          <w:b/>
        </w:rPr>
        <w:t xml:space="preserve">Portfolio </w:t>
      </w:r>
      <w:r w:rsidR="008833C2">
        <w:rPr>
          <w:b/>
        </w:rPr>
        <w:t>Directions</w:t>
      </w:r>
    </w:p>
    <w:p w:rsidR="008833C2" w:rsidRPr="00B829FA" w:rsidRDefault="008833C2" w:rsidP="00257D9D">
      <w:pPr>
        <w:spacing w:after="120"/>
        <w:jc w:val="both"/>
      </w:pPr>
    </w:p>
    <w:p w:rsidR="00B829FA" w:rsidRPr="00B829FA" w:rsidRDefault="002374FB" w:rsidP="008833C2">
      <w:pPr>
        <w:spacing w:after="120"/>
        <w:jc w:val="both"/>
      </w:pPr>
      <w:r w:rsidRPr="00B829FA">
        <w:t>Each student will be responsible for the developmen</w:t>
      </w:r>
      <w:r w:rsidR="00D55E95">
        <w:t xml:space="preserve">t of a reflective portfolio. During </w:t>
      </w:r>
      <w:r w:rsidR="00CC5009">
        <w:t>EDU425/525 class</w:t>
      </w:r>
      <w:r w:rsidRPr="00B829FA">
        <w:t>, individual meetings will be scheduled for preliminary reviews of your p</w:t>
      </w:r>
      <w:r w:rsidR="00D91F3F" w:rsidRPr="00B829FA">
        <w:t>ortfolios prior to submission.</w:t>
      </w:r>
      <w:r w:rsidR="00CA4B22">
        <w:t xml:space="preserve"> </w:t>
      </w:r>
      <w:r w:rsidR="00B829FA" w:rsidRPr="00B829FA">
        <w:t xml:space="preserve">Student Teaching is where teacher candidates show that they can implement what they have learned from their coursework in adolescent development, learning theory, special needs, </w:t>
      </w:r>
      <w:r w:rsidR="00CC5009">
        <w:t xml:space="preserve">content </w:t>
      </w:r>
      <w:r w:rsidR="00B829FA" w:rsidRPr="00B829FA">
        <w:t xml:space="preserve">and pedagogy in </w:t>
      </w:r>
      <w:r w:rsidR="00CA4B22">
        <w:t xml:space="preserve">their discipline. </w:t>
      </w:r>
      <w:r w:rsidR="00B829FA" w:rsidRPr="00B829FA">
        <w:t xml:space="preserve">This task requires teacher candidates to demonstrate their instructional competence in designing student-centered learning experiences consistent with the Education Unit’s </w:t>
      </w:r>
      <w:r w:rsidR="00904F1E">
        <w:t>Candidate Learning Outcomes</w:t>
      </w:r>
      <w:r w:rsidR="00B829FA" w:rsidRPr="00B829FA">
        <w:t xml:space="preserve"> and the national Specialty Program Association’s standards (NCTE for English, NCSS for Social Studies, NCTM for Mathematics, and NSTA for Biology and Environmental Earth Science). The main purpose of this portfolio is to demonstrate your ability to assess the impact of your teaching on student learning.</w:t>
      </w:r>
    </w:p>
    <w:p w:rsidR="00B829FA" w:rsidRPr="00B829FA" w:rsidRDefault="00B829FA" w:rsidP="00B829FA"/>
    <w:p w:rsidR="00B829FA" w:rsidRDefault="00B829FA" w:rsidP="00B829FA">
      <w:pPr>
        <w:ind w:firstLine="720"/>
      </w:pPr>
      <w:r w:rsidRPr="00B829FA">
        <w:t>Therefore, the student teacher candidate will:</w:t>
      </w:r>
    </w:p>
    <w:p w:rsidR="00904F1E" w:rsidRPr="00B829FA" w:rsidRDefault="00904F1E" w:rsidP="00B829FA">
      <w:pPr>
        <w:ind w:firstLine="720"/>
      </w:pPr>
    </w:p>
    <w:p w:rsidR="00B829FA" w:rsidRPr="00B829FA" w:rsidRDefault="00B829FA" w:rsidP="00B829FA">
      <w:pPr>
        <w:numPr>
          <w:ilvl w:val="0"/>
          <w:numId w:val="20"/>
        </w:numPr>
        <w:spacing w:after="120"/>
      </w:pPr>
      <w:r w:rsidRPr="00B829FA">
        <w:t>Student Impact Pre-assessment - Give students a pre-assessment before beginning a new unit and analyze the data to plan instruction.  Provide a copy of the assessment including student data and a description of the analysis of the data.</w:t>
      </w:r>
    </w:p>
    <w:p w:rsidR="00B829FA" w:rsidRPr="00B829FA" w:rsidRDefault="00B829FA" w:rsidP="00B829FA">
      <w:pPr>
        <w:numPr>
          <w:ilvl w:val="0"/>
          <w:numId w:val="20"/>
        </w:numPr>
        <w:spacing w:after="120"/>
      </w:pPr>
      <w:r w:rsidRPr="00B829FA">
        <w:t xml:space="preserve">Develop a unit plan on a topic using </w:t>
      </w:r>
      <w:r w:rsidRPr="00B829FA">
        <w:rPr>
          <w:i/>
        </w:rPr>
        <w:t>Inquiry</w:t>
      </w:r>
      <w:r w:rsidRPr="00B829FA">
        <w:t xml:space="preserve"> and</w:t>
      </w:r>
      <w:r w:rsidRPr="00B829FA">
        <w:rPr>
          <w:i/>
        </w:rPr>
        <w:t xml:space="preserve"> Discussion</w:t>
      </w:r>
      <w:r w:rsidRPr="00B829FA">
        <w:t xml:space="preserve"> as part of</w:t>
      </w:r>
      <w:r w:rsidR="00904F1E">
        <w:t xml:space="preserve"> the unit that you are teaching. This unit</w:t>
      </w:r>
      <w:r w:rsidRPr="00B829FA">
        <w:t xml:space="preserve"> will include student work to be assessed.  </w:t>
      </w:r>
    </w:p>
    <w:p w:rsidR="00B829FA" w:rsidRPr="00B829FA" w:rsidRDefault="00B829FA" w:rsidP="00B829FA">
      <w:pPr>
        <w:numPr>
          <w:ilvl w:val="0"/>
          <w:numId w:val="20"/>
        </w:numPr>
        <w:spacing w:after="120"/>
      </w:pPr>
      <w:r w:rsidRPr="00B829FA">
        <w:t xml:space="preserve">Provide thorough lesson plans using the Eastern Connecticut State University format to teach 10-days of lessons to a single class (prep). This may be multiple individual lesson plans or one large unit plan. Standards must align with goal(s), objective(s), and assessment(s) and include copies of any handouts.  How the lesson is differentiated for learners MUST be included.  The lessons must include strategies for including reading/writing within the content area and strategies for including ELL students within the classroom context. Teacher candidates will also provide a table of contents to the unit showing where this lesson is placed in the scope and sequence of their unit.  Student work may include a worksheet from the lesson, homework, or other form of formative assessment.  </w:t>
      </w:r>
    </w:p>
    <w:p w:rsidR="00B829FA" w:rsidRPr="00B829FA" w:rsidRDefault="00B829FA" w:rsidP="00B829FA">
      <w:pPr>
        <w:numPr>
          <w:ilvl w:val="0"/>
          <w:numId w:val="20"/>
        </w:numPr>
        <w:spacing w:after="120"/>
      </w:pPr>
      <w:r w:rsidRPr="00B829FA">
        <w:t xml:space="preserve">Show how student learning is assessed with </w:t>
      </w:r>
      <w:r w:rsidR="00437DFD">
        <w:t>three</w:t>
      </w:r>
      <w:r w:rsidRPr="00B829FA">
        <w:t xml:space="preserve"> examples of student work and the feedback on those examples.</w:t>
      </w:r>
      <w:r w:rsidR="00437DFD">
        <w:t xml:space="preserve"> Must be same three</w:t>
      </w:r>
      <w:r w:rsidRPr="00B829FA">
        <w:t xml:space="preserve"> students’ work shown throughout the portfolio. </w:t>
      </w:r>
    </w:p>
    <w:p w:rsidR="00B829FA" w:rsidRPr="00B829FA" w:rsidRDefault="00B829FA" w:rsidP="00B829FA">
      <w:pPr>
        <w:numPr>
          <w:ilvl w:val="0"/>
          <w:numId w:val="21"/>
        </w:numPr>
        <w:spacing w:after="120"/>
      </w:pPr>
      <w:r w:rsidRPr="00B829FA">
        <w:t xml:space="preserve">Student Impact Post-Assessment – Give students a post-assessment on the unit and compare the pre- and post-assessment results.  Provide a copy of the assessment with student data provided in an Excel sheet (or similar data management system), create a visual showing the data, and analyze the data. Discuss how </w:t>
      </w:r>
      <w:r w:rsidR="00437DFD">
        <w:t xml:space="preserve">you </w:t>
      </w:r>
      <w:r w:rsidRPr="00B829FA">
        <w:t xml:space="preserve">impacted student learning. </w:t>
      </w:r>
    </w:p>
    <w:p w:rsidR="00DE4CB4" w:rsidRPr="00B829FA" w:rsidRDefault="00B829FA" w:rsidP="00DE4CB4">
      <w:pPr>
        <w:numPr>
          <w:ilvl w:val="0"/>
          <w:numId w:val="22"/>
        </w:numPr>
        <w:spacing w:after="120"/>
      </w:pPr>
      <w:r w:rsidRPr="00B829FA">
        <w:t xml:space="preserve">Include a 2 page, single spaced reflection about: a) the lesson evaluating what went well and what you would change/improve in the future, b) what you learned from the pre-/post-assessments that show student learning c) how the changes in lessons/improvements in the future would potentially impact student learning in a positive way d) address your </w:t>
      </w:r>
      <w:r w:rsidR="00DE4CB4">
        <w:t xml:space="preserve"> </w:t>
      </w:r>
      <w:r w:rsidR="00DE4CB4" w:rsidRPr="00B829FA">
        <w:lastRenderedPageBreak/>
        <w:t xml:space="preserve">goals for the future as a Connecticut teacher candidate and address how you will meet these goals and e)UG ONLY- how your gained knowledge acquired as a part of your liberal arts degree affected your teaching/the learning of students in your classroom   </w:t>
      </w:r>
    </w:p>
    <w:p w:rsidR="00DE4CB4" w:rsidRPr="00B829FA" w:rsidRDefault="00DE4CB4" w:rsidP="00DE4CB4">
      <w:pPr>
        <w:numPr>
          <w:ilvl w:val="0"/>
          <w:numId w:val="22"/>
        </w:numPr>
        <w:spacing w:after="120"/>
      </w:pPr>
      <w:r w:rsidRPr="00B829FA">
        <w:t xml:space="preserve">Your portfolio MUST include documentation of completion of the CDC POP module (suicide prevention, youth violence prevention). A printout of the certificate of completion is fine. </w:t>
      </w:r>
    </w:p>
    <w:p w:rsidR="00DE4CB4" w:rsidRPr="00B829FA" w:rsidRDefault="00DE4CB4" w:rsidP="00DE4CB4">
      <w:pPr>
        <w:numPr>
          <w:ilvl w:val="0"/>
          <w:numId w:val="22"/>
        </w:numPr>
        <w:spacing w:after="120"/>
      </w:pPr>
      <w:r w:rsidRPr="00B829FA">
        <w:t xml:space="preserve">Submit </w:t>
      </w:r>
      <w:r w:rsidRPr="00437DFD">
        <w:rPr>
          <w:b/>
        </w:rPr>
        <w:t>all documents as a single file</w:t>
      </w:r>
      <w:r>
        <w:t xml:space="preserve"> on Blackboard and TK20</w:t>
      </w:r>
      <w:r w:rsidRPr="00B829FA">
        <w:t xml:space="preserve"> consisting of: tabl</w:t>
      </w:r>
      <w:r>
        <w:t>e of contents for the unit (1 page</w:t>
      </w:r>
      <w:r w:rsidRPr="00B829FA">
        <w:t>); pre-, post-assessments; complete lesson pla</w:t>
      </w:r>
      <w:r>
        <w:t>n with any handouts; work from three</w:t>
      </w:r>
      <w:r w:rsidRPr="00B829FA">
        <w:t xml:space="preserve"> students with feedback; reflection, including analysis of lesson a</w:t>
      </w:r>
      <w:r>
        <w:t xml:space="preserve">nd pre-/post- assessments (2 pages). </w:t>
      </w:r>
      <w:r w:rsidRPr="00B829FA">
        <w:t xml:space="preserve">Be sure to label files and folders for easy navigation. </w:t>
      </w:r>
    </w:p>
    <w:p w:rsidR="00DE4CB4" w:rsidRPr="00B829FA" w:rsidRDefault="00DE4CB4" w:rsidP="00DE4CB4">
      <w:pPr>
        <w:spacing w:after="120"/>
        <w:ind w:left="720"/>
      </w:pPr>
      <w:r w:rsidRPr="00B829FA">
        <w:t xml:space="preserve">Remember: You will be scored on how well you present your information visually and in writing. </w:t>
      </w:r>
    </w:p>
    <w:p w:rsidR="00DE4CB4" w:rsidRDefault="00DE4CB4" w:rsidP="00DE4CB4">
      <w:pPr>
        <w:numPr>
          <w:ilvl w:val="0"/>
          <w:numId w:val="22"/>
        </w:numPr>
        <w:spacing w:after="120"/>
      </w:pPr>
      <w:r w:rsidRPr="00B829FA">
        <w:t>MOST IMPORTANT:  Follow the Student Impact Portfolio Performance Feedback Rubrics for your content area for specific requirements</w:t>
      </w:r>
      <w:r>
        <w:t>, provided at the end of this syllabus</w:t>
      </w:r>
      <w:r w:rsidRPr="00B829FA">
        <w:t xml:space="preserve">. </w:t>
      </w:r>
    </w:p>
    <w:p w:rsidR="00372D76" w:rsidRDefault="00372D76" w:rsidP="00372D76">
      <w:pPr>
        <w:spacing w:after="120"/>
      </w:pPr>
    </w:p>
    <w:p w:rsidR="00372D76" w:rsidRDefault="00372D76" w:rsidP="00372D76">
      <w:pPr>
        <w:spacing w:after="120"/>
      </w:pPr>
    </w:p>
    <w:p w:rsidR="00FA02DB" w:rsidRDefault="00FA02DB"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pPr>
    </w:p>
    <w:p w:rsidR="00CC5009" w:rsidRDefault="00CC5009" w:rsidP="00CC5009">
      <w:pPr>
        <w:jc w:val="center"/>
        <w:rPr>
          <w:b/>
          <w:i/>
          <w:sz w:val="28"/>
          <w:szCs w:val="28"/>
        </w:rPr>
      </w:pPr>
      <w:r>
        <w:rPr>
          <w:b/>
          <w:i/>
          <w:sz w:val="28"/>
          <w:szCs w:val="28"/>
        </w:rPr>
        <w:t>Impact</w:t>
      </w:r>
      <w:r w:rsidRPr="00F54597">
        <w:rPr>
          <w:b/>
          <w:i/>
          <w:sz w:val="28"/>
          <w:szCs w:val="28"/>
        </w:rPr>
        <w:t xml:space="preserve"> Portfolio Rubric</w:t>
      </w:r>
      <w:r>
        <w:rPr>
          <w:b/>
          <w:i/>
          <w:sz w:val="28"/>
          <w:szCs w:val="28"/>
        </w:rPr>
        <w:t xml:space="preserve"> (In EDU 425/525 During </w:t>
      </w:r>
      <w:r w:rsidRPr="00F54597">
        <w:rPr>
          <w:b/>
          <w:i/>
          <w:sz w:val="28"/>
          <w:szCs w:val="28"/>
        </w:rPr>
        <w:t>Student Teaching</w:t>
      </w:r>
      <w:r>
        <w:rPr>
          <w:b/>
          <w:i/>
          <w:sz w:val="28"/>
          <w:szCs w:val="28"/>
        </w:rPr>
        <w:t>)</w:t>
      </w:r>
      <w:r w:rsidRPr="00F54597">
        <w:rPr>
          <w:b/>
          <w:i/>
          <w:sz w:val="28"/>
          <w:szCs w:val="28"/>
        </w:rPr>
        <w:t xml:space="preserve"> </w:t>
      </w:r>
    </w:p>
    <w:p w:rsidR="00FB542F" w:rsidRDefault="00FB542F" w:rsidP="00CC5009">
      <w:pPr>
        <w:spacing w:after="120"/>
        <w:jc w:val="center"/>
        <w:rPr>
          <w:b/>
          <w:i/>
          <w:sz w:val="28"/>
          <w:szCs w:val="28"/>
        </w:rPr>
      </w:pPr>
    </w:p>
    <w:p w:rsidR="00CC5009" w:rsidRPr="00FB542F" w:rsidRDefault="00CC5009" w:rsidP="00FB542F">
      <w:pPr>
        <w:spacing w:after="120"/>
        <w:jc w:val="center"/>
        <w:rPr>
          <w:b/>
          <w:iCs/>
          <w:sz w:val="28"/>
          <w:szCs w:val="28"/>
        </w:rPr>
      </w:pPr>
      <w:r w:rsidRPr="00FB542F">
        <w:rPr>
          <w:b/>
          <w:iCs/>
          <w:sz w:val="28"/>
          <w:szCs w:val="28"/>
        </w:rPr>
        <w:t>PART  A</w:t>
      </w:r>
      <w:r w:rsidR="00FB542F">
        <w:rPr>
          <w:b/>
          <w:iCs/>
          <w:sz w:val="28"/>
          <w:szCs w:val="28"/>
        </w:rPr>
        <w:t xml:space="preserve"> </w:t>
      </w:r>
    </w:p>
    <w:tbl>
      <w:tblPr>
        <w:tblpPr w:leftFromText="180" w:rightFromText="180" w:vertAnchor="text" w:horzAnchor="margin" w:tblpXSpec="center" w:tblpY="45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610"/>
        <w:gridCol w:w="2520"/>
        <w:gridCol w:w="2430"/>
      </w:tblGrid>
      <w:tr w:rsidR="00CC5009" w:rsidRPr="00D50F7A" w:rsidTr="00CC5009">
        <w:trPr>
          <w:trHeight w:val="269"/>
        </w:trPr>
        <w:tc>
          <w:tcPr>
            <w:tcW w:w="2160" w:type="dxa"/>
          </w:tcPr>
          <w:p w:rsidR="00CC5009" w:rsidRPr="00D50F7A" w:rsidRDefault="00CC5009" w:rsidP="00CC5009">
            <w:pPr>
              <w:pStyle w:val="Heading1"/>
              <w:rPr>
                <w:sz w:val="22"/>
                <w:szCs w:val="22"/>
              </w:rPr>
            </w:pPr>
            <w:r w:rsidRPr="00D50F7A">
              <w:rPr>
                <w:sz w:val="22"/>
                <w:szCs w:val="22"/>
              </w:rPr>
              <w:t>Indicator</w:t>
            </w:r>
          </w:p>
        </w:tc>
        <w:tc>
          <w:tcPr>
            <w:tcW w:w="2610" w:type="dxa"/>
          </w:tcPr>
          <w:p w:rsidR="00CC5009" w:rsidRPr="00D50F7A" w:rsidRDefault="00CC5009" w:rsidP="00CC5009">
            <w:pPr>
              <w:jc w:val="center"/>
              <w:rPr>
                <w:sz w:val="22"/>
                <w:szCs w:val="22"/>
              </w:rPr>
            </w:pPr>
            <w:r w:rsidRPr="00D50F7A">
              <w:rPr>
                <w:sz w:val="22"/>
                <w:szCs w:val="22"/>
              </w:rPr>
              <w:t>TARGET  3</w:t>
            </w:r>
          </w:p>
        </w:tc>
        <w:tc>
          <w:tcPr>
            <w:tcW w:w="2520" w:type="dxa"/>
          </w:tcPr>
          <w:p w:rsidR="00CC5009" w:rsidRPr="00D50F7A" w:rsidRDefault="00CC5009" w:rsidP="00CC5009">
            <w:pPr>
              <w:jc w:val="center"/>
              <w:rPr>
                <w:sz w:val="22"/>
                <w:szCs w:val="22"/>
              </w:rPr>
            </w:pPr>
            <w:r w:rsidRPr="00D50F7A">
              <w:rPr>
                <w:sz w:val="22"/>
                <w:szCs w:val="22"/>
              </w:rPr>
              <w:t>ACCEPTABLE  2</w:t>
            </w:r>
          </w:p>
        </w:tc>
        <w:tc>
          <w:tcPr>
            <w:tcW w:w="2430" w:type="dxa"/>
          </w:tcPr>
          <w:p w:rsidR="00CC5009" w:rsidRPr="00D50F7A" w:rsidRDefault="00CC5009" w:rsidP="00CC5009">
            <w:pPr>
              <w:jc w:val="center"/>
              <w:rPr>
                <w:sz w:val="22"/>
                <w:szCs w:val="22"/>
              </w:rPr>
            </w:pPr>
            <w:r w:rsidRPr="00D50F7A">
              <w:rPr>
                <w:sz w:val="22"/>
                <w:szCs w:val="22"/>
              </w:rPr>
              <w:t>UNACCEPTABLE  1</w:t>
            </w:r>
          </w:p>
        </w:tc>
      </w:tr>
      <w:tr w:rsidR="00CC5009" w:rsidRPr="00D50F7A" w:rsidTr="00CC5009">
        <w:trPr>
          <w:trHeight w:val="269"/>
        </w:trPr>
        <w:tc>
          <w:tcPr>
            <w:tcW w:w="2160" w:type="dxa"/>
          </w:tcPr>
          <w:p w:rsidR="00CC5009" w:rsidRPr="00D50F7A" w:rsidRDefault="00CC5009" w:rsidP="00CC5009">
            <w:pPr>
              <w:pStyle w:val="Heading1"/>
              <w:rPr>
                <w:sz w:val="22"/>
                <w:szCs w:val="22"/>
              </w:rPr>
            </w:pPr>
          </w:p>
        </w:tc>
        <w:tc>
          <w:tcPr>
            <w:tcW w:w="2610" w:type="dxa"/>
          </w:tcPr>
          <w:p w:rsidR="00CC5009" w:rsidRPr="00D50F7A" w:rsidRDefault="00CC5009" w:rsidP="00CC5009">
            <w:pPr>
              <w:jc w:val="center"/>
              <w:rPr>
                <w:sz w:val="22"/>
                <w:szCs w:val="22"/>
              </w:rPr>
            </w:pPr>
          </w:p>
        </w:tc>
        <w:tc>
          <w:tcPr>
            <w:tcW w:w="2520" w:type="dxa"/>
          </w:tcPr>
          <w:p w:rsidR="00CC5009" w:rsidRPr="00D50F7A" w:rsidRDefault="00CC5009" w:rsidP="00CC5009">
            <w:pPr>
              <w:jc w:val="center"/>
              <w:rPr>
                <w:sz w:val="22"/>
                <w:szCs w:val="22"/>
              </w:rPr>
            </w:pPr>
          </w:p>
        </w:tc>
        <w:tc>
          <w:tcPr>
            <w:tcW w:w="2430" w:type="dxa"/>
          </w:tcPr>
          <w:p w:rsidR="00CC5009" w:rsidRPr="00D50F7A" w:rsidRDefault="00CC5009" w:rsidP="00CC5009">
            <w:pPr>
              <w:jc w:val="center"/>
              <w:rPr>
                <w:sz w:val="22"/>
                <w:szCs w:val="22"/>
              </w:rPr>
            </w:pPr>
          </w:p>
        </w:tc>
      </w:tr>
      <w:tr w:rsidR="00CC5009" w:rsidRPr="00D50F7A" w:rsidTr="00CC5009">
        <w:trPr>
          <w:trHeight w:val="1682"/>
        </w:trPr>
        <w:tc>
          <w:tcPr>
            <w:tcW w:w="2160" w:type="dxa"/>
          </w:tcPr>
          <w:p w:rsidR="00CC5009" w:rsidRPr="00D35504" w:rsidRDefault="00CC5009" w:rsidP="00CC5009">
            <w:pPr>
              <w:rPr>
                <w:sz w:val="20"/>
                <w:szCs w:val="20"/>
              </w:rPr>
            </w:pPr>
            <w:r>
              <w:rPr>
                <w:sz w:val="20"/>
                <w:szCs w:val="20"/>
              </w:rPr>
              <w:t>1. C</w:t>
            </w:r>
            <w:r w:rsidRPr="00D35504">
              <w:rPr>
                <w:sz w:val="20"/>
                <w:szCs w:val="20"/>
              </w:rPr>
              <w:t>lassroom management and the resulting learning environment</w:t>
            </w:r>
          </w:p>
          <w:p w:rsidR="00CC5009" w:rsidRPr="00D50F7A" w:rsidRDefault="00CC5009" w:rsidP="00CC5009">
            <w:pPr>
              <w:rPr>
                <w:i/>
                <w:sz w:val="20"/>
                <w:szCs w:val="20"/>
              </w:rPr>
            </w:pPr>
            <w:r w:rsidRPr="00D50F7A">
              <w:rPr>
                <w:i/>
                <w:sz w:val="20"/>
                <w:szCs w:val="20"/>
              </w:rPr>
              <w:t>CCCT 2.1</w:t>
            </w:r>
          </w:p>
          <w:p w:rsidR="00CC5009" w:rsidRPr="00D50F7A" w:rsidRDefault="00CC5009" w:rsidP="00CC5009">
            <w:pPr>
              <w:rPr>
                <w:b/>
                <w:i/>
                <w:sz w:val="20"/>
                <w:szCs w:val="20"/>
              </w:rPr>
            </w:pPr>
          </w:p>
        </w:tc>
        <w:tc>
          <w:tcPr>
            <w:tcW w:w="2610" w:type="dxa"/>
          </w:tcPr>
          <w:p w:rsidR="00CC5009" w:rsidRPr="00D50F7A" w:rsidRDefault="00CC5009" w:rsidP="00CC5009">
            <w:pPr>
              <w:rPr>
                <w:sz w:val="20"/>
                <w:szCs w:val="20"/>
              </w:rPr>
            </w:pPr>
            <w:r w:rsidRPr="00D50F7A">
              <w:rPr>
                <w:sz w:val="20"/>
                <w:szCs w:val="20"/>
              </w:rPr>
              <w:t>The Teacher Candidate managed the classroom to create a learning environment in which students were encouraged to discuss ideas, seek information, and validate explanations.</w:t>
            </w:r>
          </w:p>
        </w:tc>
        <w:tc>
          <w:tcPr>
            <w:tcW w:w="2520" w:type="dxa"/>
          </w:tcPr>
          <w:p w:rsidR="00CC5009" w:rsidRPr="00D50F7A" w:rsidRDefault="00CC5009" w:rsidP="00CC5009">
            <w:pPr>
              <w:rPr>
                <w:sz w:val="20"/>
                <w:szCs w:val="20"/>
              </w:rPr>
            </w:pPr>
            <w:r w:rsidRPr="00D50F7A">
              <w:rPr>
                <w:sz w:val="20"/>
                <w:szCs w:val="20"/>
              </w:rPr>
              <w:t>The Teacher Candidate managed the classroom to create a learning environment in which students were encouraged to follow the teacher’s instructions.</w:t>
            </w:r>
          </w:p>
        </w:tc>
        <w:tc>
          <w:tcPr>
            <w:tcW w:w="2430" w:type="dxa"/>
          </w:tcPr>
          <w:p w:rsidR="00CC5009" w:rsidRPr="00D50F7A" w:rsidRDefault="00CC5009" w:rsidP="00CC5009">
            <w:pPr>
              <w:rPr>
                <w:sz w:val="20"/>
                <w:szCs w:val="20"/>
              </w:rPr>
            </w:pPr>
            <w:r w:rsidRPr="00D50F7A">
              <w:rPr>
                <w:sz w:val="20"/>
                <w:szCs w:val="20"/>
              </w:rPr>
              <w:t xml:space="preserve">The Teacher Candidate had difficulties with classroom management, and, as a result, students’ behavior may have interfered with their learning. </w:t>
            </w:r>
          </w:p>
        </w:tc>
      </w:tr>
      <w:tr w:rsidR="00CC5009" w:rsidRPr="00D50F7A" w:rsidTr="00CC5009">
        <w:trPr>
          <w:trHeight w:val="1592"/>
        </w:trPr>
        <w:tc>
          <w:tcPr>
            <w:tcW w:w="2160" w:type="dxa"/>
            <w:vMerge w:val="restart"/>
          </w:tcPr>
          <w:p w:rsidR="00CC5009" w:rsidRPr="00D50F7A" w:rsidRDefault="00CC5009" w:rsidP="00CC5009">
            <w:pPr>
              <w:rPr>
                <w:sz w:val="20"/>
                <w:szCs w:val="20"/>
              </w:rPr>
            </w:pPr>
            <w:r>
              <w:rPr>
                <w:sz w:val="20"/>
                <w:szCs w:val="20"/>
              </w:rPr>
              <w:t xml:space="preserve">2 &amp; 3. </w:t>
            </w:r>
            <w:r w:rsidRPr="00D50F7A">
              <w:rPr>
                <w:sz w:val="20"/>
                <w:szCs w:val="20"/>
              </w:rPr>
              <w:t xml:space="preserve">Learning activities aligned with national standards used to support students’ development of essential </w:t>
            </w:r>
            <w:r w:rsidRPr="00D50F7A">
              <w:rPr>
                <w:sz w:val="20"/>
                <w:szCs w:val="20"/>
                <w:u w:val="single"/>
              </w:rPr>
              <w:t>skills</w:t>
            </w:r>
            <w:r w:rsidRPr="00D50F7A">
              <w:rPr>
                <w:sz w:val="20"/>
                <w:szCs w:val="20"/>
              </w:rPr>
              <w:t xml:space="preserve"> in the subject area</w:t>
            </w:r>
          </w:p>
          <w:p w:rsidR="00CC5009" w:rsidRPr="00D50F7A" w:rsidRDefault="00CC5009" w:rsidP="00CC5009">
            <w:pPr>
              <w:rPr>
                <w:i/>
                <w:sz w:val="20"/>
                <w:szCs w:val="20"/>
              </w:rPr>
            </w:pPr>
            <w:r w:rsidRPr="00D50F7A">
              <w:rPr>
                <w:i/>
                <w:sz w:val="20"/>
                <w:szCs w:val="20"/>
              </w:rPr>
              <w:t>CCCT 1.2</w:t>
            </w:r>
          </w:p>
          <w:p w:rsidR="00CC5009" w:rsidRPr="00D50F7A" w:rsidRDefault="00CC5009" w:rsidP="00CC5009">
            <w:pPr>
              <w:rPr>
                <w:b/>
                <w:i/>
                <w:sz w:val="20"/>
                <w:szCs w:val="20"/>
              </w:rPr>
            </w:pPr>
          </w:p>
        </w:tc>
        <w:tc>
          <w:tcPr>
            <w:tcW w:w="2610" w:type="dxa"/>
          </w:tcPr>
          <w:p w:rsidR="00CC5009" w:rsidRPr="00D50F7A" w:rsidRDefault="00CC5009" w:rsidP="00CC5009">
            <w:pPr>
              <w:rPr>
                <w:sz w:val="20"/>
                <w:szCs w:val="20"/>
              </w:rPr>
            </w:pPr>
            <w:r w:rsidRPr="00D50F7A">
              <w:rPr>
                <w:sz w:val="20"/>
                <w:szCs w:val="20"/>
              </w:rPr>
              <w:t xml:space="preserve">The Teacher Candidate planned lessons and units that addressed appropriate learning goals, including those that addressed local, state, and national standards and legislative mandates and used learning activities that integrated essential subject area knowledge and skills . </w:t>
            </w:r>
            <w:r>
              <w:rPr>
                <w:sz w:val="20"/>
                <w:szCs w:val="20"/>
              </w:rPr>
              <w:t xml:space="preserve"> </w:t>
            </w:r>
          </w:p>
        </w:tc>
        <w:tc>
          <w:tcPr>
            <w:tcW w:w="2520" w:type="dxa"/>
          </w:tcPr>
          <w:p w:rsidR="00CC5009" w:rsidRPr="00D50F7A" w:rsidRDefault="00CC5009" w:rsidP="00CC5009">
            <w:pPr>
              <w:rPr>
                <w:sz w:val="20"/>
                <w:szCs w:val="20"/>
              </w:rPr>
            </w:pPr>
            <w:r w:rsidRPr="00D50F7A">
              <w:rPr>
                <w:sz w:val="20"/>
                <w:szCs w:val="20"/>
              </w:rPr>
              <w:t>The Teacher Candidate planned lessons and units that addressed appropriate learning goals, including those that addressed local, state, and national standards and legislative mandates and used learning activities to develop students’ basic skills and knowledge.</w:t>
            </w:r>
          </w:p>
        </w:tc>
        <w:tc>
          <w:tcPr>
            <w:tcW w:w="2430" w:type="dxa"/>
          </w:tcPr>
          <w:p w:rsidR="00CC5009" w:rsidRPr="00D50F7A" w:rsidRDefault="00CC5009" w:rsidP="00CC5009">
            <w:pPr>
              <w:rPr>
                <w:sz w:val="20"/>
                <w:szCs w:val="20"/>
              </w:rPr>
            </w:pPr>
            <w:r w:rsidRPr="00D50F7A">
              <w:rPr>
                <w:sz w:val="20"/>
                <w:szCs w:val="20"/>
              </w:rPr>
              <w:t>The Teacher Candidate did not plan lessons and units to appropriately address standards and legislative mandates or used learning activities that</w:t>
            </w:r>
            <w:r>
              <w:rPr>
                <w:sz w:val="20"/>
                <w:szCs w:val="20"/>
              </w:rPr>
              <w:t xml:space="preserve"> </w:t>
            </w:r>
            <w:r w:rsidRPr="00D50F7A">
              <w:rPr>
                <w:sz w:val="20"/>
                <w:szCs w:val="20"/>
              </w:rPr>
              <w:t xml:space="preserve">primarily involved students in memorization and/or recall of factual knowledge. </w:t>
            </w:r>
          </w:p>
        </w:tc>
      </w:tr>
      <w:tr w:rsidR="00CC5009" w:rsidRPr="00D50F7A" w:rsidTr="00CC5009">
        <w:trPr>
          <w:trHeight w:val="1340"/>
        </w:trPr>
        <w:tc>
          <w:tcPr>
            <w:tcW w:w="2160" w:type="dxa"/>
            <w:vMerge/>
          </w:tcPr>
          <w:p w:rsidR="00CC5009" w:rsidRPr="00D50F7A" w:rsidRDefault="00CC5009" w:rsidP="00CC5009">
            <w:pPr>
              <w:rPr>
                <w:b/>
                <w:sz w:val="20"/>
                <w:szCs w:val="20"/>
              </w:rPr>
            </w:pPr>
          </w:p>
        </w:tc>
        <w:tc>
          <w:tcPr>
            <w:tcW w:w="2610" w:type="dxa"/>
          </w:tcPr>
          <w:p w:rsidR="00CC5009" w:rsidRPr="00D50F7A" w:rsidRDefault="00CC5009" w:rsidP="00CC5009">
            <w:pPr>
              <w:rPr>
                <w:sz w:val="20"/>
                <w:szCs w:val="20"/>
              </w:rPr>
            </w:pPr>
            <w:r w:rsidRPr="00D50F7A">
              <w:rPr>
                <w:sz w:val="20"/>
                <w:szCs w:val="20"/>
              </w:rPr>
              <w:t>The Teacher Candidate used learning activities that established a framework for future learning of subject area concepts and themes</w:t>
            </w:r>
          </w:p>
          <w:p w:rsidR="00CC5009" w:rsidRPr="00D50F7A" w:rsidRDefault="00CC5009" w:rsidP="00CC5009">
            <w:pPr>
              <w:rPr>
                <w:sz w:val="20"/>
                <w:szCs w:val="20"/>
              </w:rPr>
            </w:pPr>
          </w:p>
        </w:tc>
        <w:tc>
          <w:tcPr>
            <w:tcW w:w="2520" w:type="dxa"/>
          </w:tcPr>
          <w:p w:rsidR="00CC5009" w:rsidRPr="00D50F7A" w:rsidRDefault="00CC5009" w:rsidP="00CC5009">
            <w:pPr>
              <w:rPr>
                <w:sz w:val="20"/>
                <w:szCs w:val="20"/>
              </w:rPr>
            </w:pPr>
            <w:r w:rsidRPr="00D50F7A">
              <w:rPr>
                <w:sz w:val="20"/>
                <w:szCs w:val="20"/>
              </w:rPr>
              <w:t xml:space="preserve">The Teacher Candidate used learning activities that provided some opportunities for students to apply and/or develop essential subject </w:t>
            </w:r>
            <w:r>
              <w:rPr>
                <w:sz w:val="20"/>
                <w:szCs w:val="20"/>
              </w:rPr>
              <w:t>area skills in learning content</w:t>
            </w:r>
          </w:p>
        </w:tc>
        <w:tc>
          <w:tcPr>
            <w:tcW w:w="2430" w:type="dxa"/>
          </w:tcPr>
          <w:p w:rsidR="00CC5009" w:rsidRPr="00D50F7A" w:rsidRDefault="00CC5009" w:rsidP="00CC5009">
            <w:pPr>
              <w:rPr>
                <w:sz w:val="20"/>
                <w:szCs w:val="20"/>
              </w:rPr>
            </w:pPr>
            <w:r w:rsidRPr="00D50F7A">
              <w:rPr>
                <w:sz w:val="20"/>
                <w:szCs w:val="20"/>
              </w:rPr>
              <w:t>The Teacher Candidate used learning activities that did not provide opportunities for students to apply or develop essential skills in learning content</w:t>
            </w:r>
          </w:p>
        </w:tc>
      </w:tr>
      <w:tr w:rsidR="00CC5009" w:rsidRPr="00D50F7A" w:rsidTr="00CC5009">
        <w:trPr>
          <w:trHeight w:val="980"/>
        </w:trPr>
        <w:tc>
          <w:tcPr>
            <w:tcW w:w="2160" w:type="dxa"/>
            <w:vMerge w:val="restart"/>
          </w:tcPr>
          <w:p w:rsidR="00CC5009" w:rsidRPr="00831EA3" w:rsidRDefault="00CC5009" w:rsidP="00CC5009">
            <w:pPr>
              <w:rPr>
                <w:sz w:val="20"/>
                <w:szCs w:val="20"/>
              </w:rPr>
            </w:pPr>
            <w:r>
              <w:rPr>
                <w:sz w:val="20"/>
                <w:szCs w:val="20"/>
              </w:rPr>
              <w:t xml:space="preserve">4, 5, &amp; 6. </w:t>
            </w:r>
            <w:r w:rsidRPr="00831EA3">
              <w:rPr>
                <w:sz w:val="20"/>
                <w:szCs w:val="20"/>
              </w:rPr>
              <w:t xml:space="preserve">Engaging the students in </w:t>
            </w:r>
            <w:r w:rsidRPr="00831EA3">
              <w:rPr>
                <w:i/>
                <w:sz w:val="20"/>
                <w:szCs w:val="20"/>
              </w:rPr>
              <w:t xml:space="preserve">inquiry </w:t>
            </w:r>
            <w:r w:rsidRPr="00831EA3">
              <w:rPr>
                <w:sz w:val="20"/>
                <w:szCs w:val="20"/>
              </w:rPr>
              <w:t>to examine issues in the subject area</w:t>
            </w:r>
          </w:p>
          <w:p w:rsidR="00CC5009" w:rsidRPr="00D50F7A" w:rsidRDefault="00CC5009" w:rsidP="00CC5009">
            <w:pPr>
              <w:rPr>
                <w:i/>
                <w:sz w:val="20"/>
                <w:szCs w:val="20"/>
              </w:rPr>
            </w:pPr>
            <w:r w:rsidRPr="00D50F7A">
              <w:rPr>
                <w:i/>
                <w:sz w:val="20"/>
                <w:szCs w:val="20"/>
              </w:rPr>
              <w:t>CCCT 2.2</w:t>
            </w:r>
          </w:p>
          <w:p w:rsidR="00CC5009" w:rsidRPr="00D50F7A" w:rsidRDefault="00CC5009" w:rsidP="00CC5009">
            <w:pPr>
              <w:rPr>
                <w:b/>
                <w:i/>
                <w:color w:val="FF0000"/>
                <w:sz w:val="20"/>
                <w:szCs w:val="20"/>
              </w:rPr>
            </w:pPr>
          </w:p>
        </w:tc>
        <w:tc>
          <w:tcPr>
            <w:tcW w:w="2610" w:type="dxa"/>
          </w:tcPr>
          <w:p w:rsidR="00CC5009" w:rsidRPr="00D50F7A" w:rsidRDefault="00CC5009" w:rsidP="00CC5009">
            <w:pPr>
              <w:rPr>
                <w:sz w:val="20"/>
                <w:szCs w:val="20"/>
              </w:rPr>
            </w:pPr>
            <w:r w:rsidRPr="00D50F7A">
              <w:rPr>
                <w:sz w:val="20"/>
                <w:szCs w:val="20"/>
              </w:rPr>
              <w:t>Students were actively engaged in exploring one or more issues relevant to the content covered</w:t>
            </w:r>
          </w:p>
        </w:tc>
        <w:tc>
          <w:tcPr>
            <w:tcW w:w="2520" w:type="dxa"/>
          </w:tcPr>
          <w:p w:rsidR="00CC5009" w:rsidRPr="00D50F7A" w:rsidRDefault="00CC5009" w:rsidP="00CC5009">
            <w:pPr>
              <w:rPr>
                <w:sz w:val="20"/>
                <w:szCs w:val="20"/>
              </w:rPr>
            </w:pPr>
            <w:r w:rsidRPr="00D50F7A">
              <w:rPr>
                <w:sz w:val="20"/>
                <w:szCs w:val="20"/>
              </w:rPr>
              <w:t>Students were engaged in examining one or more issue</w:t>
            </w:r>
            <w:r>
              <w:rPr>
                <w:sz w:val="20"/>
                <w:szCs w:val="20"/>
              </w:rPr>
              <w:t xml:space="preserve"> using different resources </w:t>
            </w:r>
          </w:p>
        </w:tc>
        <w:tc>
          <w:tcPr>
            <w:tcW w:w="2430" w:type="dxa"/>
          </w:tcPr>
          <w:p w:rsidR="00CC5009" w:rsidRPr="00D50F7A" w:rsidRDefault="00CC5009" w:rsidP="00CC5009">
            <w:pPr>
              <w:rPr>
                <w:sz w:val="20"/>
                <w:szCs w:val="20"/>
              </w:rPr>
            </w:pPr>
            <w:r w:rsidRPr="00D50F7A">
              <w:rPr>
                <w:sz w:val="20"/>
                <w:szCs w:val="20"/>
              </w:rPr>
              <w:t>Students located information from resources provided by the teacher</w:t>
            </w:r>
          </w:p>
          <w:p w:rsidR="00CC5009" w:rsidRPr="00D50F7A" w:rsidRDefault="00CC5009" w:rsidP="00CC5009">
            <w:pPr>
              <w:rPr>
                <w:sz w:val="20"/>
                <w:szCs w:val="20"/>
              </w:rPr>
            </w:pPr>
          </w:p>
        </w:tc>
      </w:tr>
      <w:tr w:rsidR="00CC5009" w:rsidRPr="00D50F7A" w:rsidTr="00CC5009">
        <w:trPr>
          <w:trHeight w:val="683"/>
        </w:trPr>
        <w:tc>
          <w:tcPr>
            <w:tcW w:w="2160" w:type="dxa"/>
            <w:vMerge/>
          </w:tcPr>
          <w:p w:rsidR="00CC5009" w:rsidRPr="00D50F7A" w:rsidRDefault="00CC5009" w:rsidP="00CC5009">
            <w:pPr>
              <w:rPr>
                <w:b/>
                <w:sz w:val="20"/>
                <w:szCs w:val="20"/>
              </w:rPr>
            </w:pPr>
          </w:p>
        </w:tc>
        <w:tc>
          <w:tcPr>
            <w:tcW w:w="2610" w:type="dxa"/>
          </w:tcPr>
          <w:p w:rsidR="00CC5009" w:rsidRPr="00D50F7A" w:rsidRDefault="00CC5009" w:rsidP="00CC5009">
            <w:pPr>
              <w:pStyle w:val="BodyTextIndent"/>
              <w:ind w:left="0" w:hanging="18"/>
            </w:pPr>
            <w:r w:rsidRPr="00D50F7A">
              <w:t>Students independently conducted research using a variety of  sources</w:t>
            </w:r>
          </w:p>
        </w:tc>
        <w:tc>
          <w:tcPr>
            <w:tcW w:w="2520" w:type="dxa"/>
          </w:tcPr>
          <w:p w:rsidR="00CC5009" w:rsidRPr="00D50F7A" w:rsidRDefault="00CC5009" w:rsidP="00CC5009">
            <w:pPr>
              <w:rPr>
                <w:sz w:val="20"/>
                <w:szCs w:val="20"/>
              </w:rPr>
            </w:pPr>
            <w:r w:rsidRPr="00D50F7A">
              <w:rPr>
                <w:sz w:val="20"/>
                <w:szCs w:val="20"/>
              </w:rPr>
              <w:t>Students were guided to use research to summarize their findings</w:t>
            </w:r>
          </w:p>
        </w:tc>
        <w:tc>
          <w:tcPr>
            <w:tcW w:w="2430" w:type="dxa"/>
          </w:tcPr>
          <w:p w:rsidR="00CC5009" w:rsidRPr="00D50F7A" w:rsidRDefault="00CC5009" w:rsidP="00CC5009">
            <w:pPr>
              <w:rPr>
                <w:sz w:val="20"/>
                <w:szCs w:val="20"/>
              </w:rPr>
            </w:pPr>
            <w:r w:rsidRPr="00D50F7A">
              <w:rPr>
                <w:sz w:val="20"/>
                <w:szCs w:val="20"/>
              </w:rPr>
              <w:t>Students’ research was not a component in the inquiry activities.</w:t>
            </w:r>
          </w:p>
        </w:tc>
      </w:tr>
      <w:tr w:rsidR="00CC5009" w:rsidRPr="00D50F7A" w:rsidTr="00CC5009">
        <w:trPr>
          <w:trHeight w:val="1007"/>
        </w:trPr>
        <w:tc>
          <w:tcPr>
            <w:tcW w:w="2160" w:type="dxa"/>
            <w:vMerge/>
          </w:tcPr>
          <w:p w:rsidR="00CC5009" w:rsidRPr="00D50F7A" w:rsidRDefault="00CC5009" w:rsidP="00CC5009">
            <w:pPr>
              <w:rPr>
                <w:b/>
                <w:sz w:val="20"/>
                <w:szCs w:val="20"/>
              </w:rPr>
            </w:pPr>
          </w:p>
        </w:tc>
        <w:tc>
          <w:tcPr>
            <w:tcW w:w="2610" w:type="dxa"/>
          </w:tcPr>
          <w:p w:rsidR="00CC5009" w:rsidRPr="00D50F7A" w:rsidRDefault="00CC5009" w:rsidP="00CC5009">
            <w:pPr>
              <w:pStyle w:val="BodyTextIndent"/>
              <w:ind w:left="0" w:firstLine="0"/>
            </w:pPr>
            <w:r w:rsidRPr="00D50F7A">
              <w:t>Students developed, justified &amp; presented their positions taking into account alternate points of view.</w:t>
            </w:r>
          </w:p>
        </w:tc>
        <w:tc>
          <w:tcPr>
            <w:tcW w:w="2520" w:type="dxa"/>
          </w:tcPr>
          <w:p w:rsidR="00CC5009" w:rsidRPr="00D50F7A" w:rsidRDefault="00CC5009" w:rsidP="00CC5009">
            <w:pPr>
              <w:rPr>
                <w:sz w:val="20"/>
                <w:szCs w:val="20"/>
              </w:rPr>
            </w:pPr>
            <w:r w:rsidRPr="00D50F7A">
              <w:rPr>
                <w:sz w:val="20"/>
                <w:szCs w:val="20"/>
              </w:rPr>
              <w:t>Students developed and presented positions with unfounded justification or no justification.</w:t>
            </w:r>
          </w:p>
        </w:tc>
        <w:tc>
          <w:tcPr>
            <w:tcW w:w="2430" w:type="dxa"/>
          </w:tcPr>
          <w:p w:rsidR="00CC5009" w:rsidRPr="00D50F7A" w:rsidRDefault="00CC5009" w:rsidP="00CC5009">
            <w:pPr>
              <w:rPr>
                <w:sz w:val="20"/>
                <w:szCs w:val="20"/>
              </w:rPr>
            </w:pPr>
            <w:r w:rsidRPr="00D50F7A">
              <w:rPr>
                <w:sz w:val="20"/>
                <w:szCs w:val="20"/>
              </w:rPr>
              <w:t>Students presented information with no justification and no or little evidence of research of findings.</w:t>
            </w:r>
          </w:p>
        </w:tc>
      </w:tr>
    </w:tbl>
    <w:p w:rsidR="00CC5009" w:rsidRDefault="00CC5009" w:rsidP="00FB542F">
      <w:pPr>
        <w:rPr>
          <w:b/>
          <w:i/>
          <w:sz w:val="28"/>
          <w:szCs w:val="28"/>
        </w:rPr>
      </w:pPr>
    </w:p>
    <w:p w:rsidR="00CC5009" w:rsidRDefault="00CC5009" w:rsidP="00372D76">
      <w:pPr>
        <w:jc w:val="center"/>
        <w:rPr>
          <w:b/>
          <w:i/>
          <w:sz w:val="28"/>
          <w:szCs w:val="28"/>
        </w:rPr>
      </w:pPr>
    </w:p>
    <w:p w:rsidR="00CC5009" w:rsidRDefault="00CC5009" w:rsidP="00372D76">
      <w:pPr>
        <w:jc w:val="center"/>
        <w:rPr>
          <w:b/>
          <w:i/>
          <w:sz w:val="28"/>
          <w:szCs w:val="28"/>
        </w:rPr>
        <w:sectPr w:rsidR="00CC5009" w:rsidSect="00E758B4">
          <w:headerReference w:type="default" r:id="rId8"/>
          <w:pgSz w:w="12240" w:h="15840"/>
          <w:pgMar w:top="1440" w:right="1440" w:bottom="1440" w:left="1440" w:header="720" w:footer="720" w:gutter="0"/>
          <w:cols w:space="720"/>
          <w:titlePg/>
          <w:docGrid w:linePitch="360"/>
        </w:sectPr>
      </w:pPr>
    </w:p>
    <w:tbl>
      <w:tblPr>
        <w:tblpPr w:leftFromText="180" w:rightFromText="180" w:vertAnchor="text" w:horzAnchor="margin" w:tblpY="-1483"/>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610"/>
        <w:gridCol w:w="2520"/>
        <w:gridCol w:w="2430"/>
      </w:tblGrid>
      <w:tr w:rsidR="00372D76" w:rsidTr="00FA02DB">
        <w:trPr>
          <w:trHeight w:val="269"/>
        </w:trPr>
        <w:tc>
          <w:tcPr>
            <w:tcW w:w="2160" w:type="dxa"/>
          </w:tcPr>
          <w:p w:rsidR="00372D76" w:rsidRPr="00D50F7A" w:rsidRDefault="00372D76" w:rsidP="0093200D">
            <w:pPr>
              <w:pStyle w:val="Heading1"/>
              <w:rPr>
                <w:sz w:val="22"/>
                <w:szCs w:val="22"/>
              </w:rPr>
            </w:pPr>
            <w:r w:rsidRPr="00D50F7A">
              <w:rPr>
                <w:sz w:val="22"/>
                <w:szCs w:val="22"/>
              </w:rPr>
              <w:t>Indicator</w:t>
            </w:r>
          </w:p>
        </w:tc>
        <w:tc>
          <w:tcPr>
            <w:tcW w:w="2610" w:type="dxa"/>
          </w:tcPr>
          <w:p w:rsidR="00372D76" w:rsidRPr="00D50F7A" w:rsidRDefault="00372D76" w:rsidP="0093200D">
            <w:pPr>
              <w:jc w:val="center"/>
              <w:rPr>
                <w:sz w:val="22"/>
                <w:szCs w:val="22"/>
              </w:rPr>
            </w:pPr>
            <w:r w:rsidRPr="00D50F7A">
              <w:rPr>
                <w:sz w:val="22"/>
                <w:szCs w:val="22"/>
              </w:rPr>
              <w:t>TARGET  3</w:t>
            </w:r>
          </w:p>
        </w:tc>
        <w:tc>
          <w:tcPr>
            <w:tcW w:w="2520" w:type="dxa"/>
          </w:tcPr>
          <w:p w:rsidR="00372D76" w:rsidRPr="00D50F7A" w:rsidRDefault="00372D76" w:rsidP="0093200D">
            <w:pPr>
              <w:jc w:val="center"/>
              <w:rPr>
                <w:sz w:val="22"/>
                <w:szCs w:val="22"/>
              </w:rPr>
            </w:pPr>
            <w:r w:rsidRPr="00D50F7A">
              <w:rPr>
                <w:sz w:val="22"/>
                <w:szCs w:val="22"/>
              </w:rPr>
              <w:t>ACCEPTABLE  2</w:t>
            </w:r>
          </w:p>
        </w:tc>
        <w:tc>
          <w:tcPr>
            <w:tcW w:w="2430" w:type="dxa"/>
          </w:tcPr>
          <w:p w:rsidR="00372D76" w:rsidRPr="00D50F7A" w:rsidRDefault="00372D76" w:rsidP="0093200D">
            <w:pPr>
              <w:jc w:val="center"/>
              <w:rPr>
                <w:sz w:val="22"/>
                <w:szCs w:val="22"/>
              </w:rPr>
            </w:pPr>
            <w:r w:rsidRPr="00D50F7A">
              <w:rPr>
                <w:sz w:val="22"/>
                <w:szCs w:val="22"/>
              </w:rPr>
              <w:t>UNACCEPTABLE  1</w:t>
            </w:r>
          </w:p>
        </w:tc>
      </w:tr>
      <w:tr w:rsidR="00372D76" w:rsidTr="00FA02DB">
        <w:trPr>
          <w:trHeight w:val="269"/>
        </w:trPr>
        <w:tc>
          <w:tcPr>
            <w:tcW w:w="2160" w:type="dxa"/>
          </w:tcPr>
          <w:p w:rsidR="00372D76" w:rsidRPr="00D50F7A" w:rsidRDefault="00372D76" w:rsidP="0093200D">
            <w:pPr>
              <w:pStyle w:val="Heading1"/>
              <w:rPr>
                <w:sz w:val="22"/>
                <w:szCs w:val="22"/>
              </w:rPr>
            </w:pPr>
          </w:p>
        </w:tc>
        <w:tc>
          <w:tcPr>
            <w:tcW w:w="2610" w:type="dxa"/>
          </w:tcPr>
          <w:p w:rsidR="00372D76" w:rsidRPr="00D50F7A" w:rsidRDefault="00372D76" w:rsidP="0093200D">
            <w:pPr>
              <w:jc w:val="center"/>
              <w:rPr>
                <w:sz w:val="22"/>
                <w:szCs w:val="22"/>
              </w:rPr>
            </w:pPr>
          </w:p>
        </w:tc>
        <w:tc>
          <w:tcPr>
            <w:tcW w:w="2520" w:type="dxa"/>
          </w:tcPr>
          <w:p w:rsidR="00372D76" w:rsidRPr="00D50F7A" w:rsidRDefault="00372D76" w:rsidP="0093200D">
            <w:pPr>
              <w:jc w:val="center"/>
              <w:rPr>
                <w:sz w:val="22"/>
                <w:szCs w:val="22"/>
              </w:rPr>
            </w:pPr>
          </w:p>
        </w:tc>
        <w:tc>
          <w:tcPr>
            <w:tcW w:w="2430" w:type="dxa"/>
          </w:tcPr>
          <w:p w:rsidR="00372D76" w:rsidRPr="00D50F7A" w:rsidRDefault="00372D76" w:rsidP="0093200D">
            <w:pPr>
              <w:jc w:val="center"/>
              <w:rPr>
                <w:sz w:val="22"/>
                <w:szCs w:val="22"/>
              </w:rPr>
            </w:pPr>
          </w:p>
        </w:tc>
      </w:tr>
      <w:tr w:rsidR="00372D76" w:rsidTr="00FA02DB">
        <w:trPr>
          <w:trHeight w:val="70"/>
        </w:trPr>
        <w:tc>
          <w:tcPr>
            <w:tcW w:w="2160" w:type="dxa"/>
            <w:tcBorders>
              <w:top w:val="single" w:sz="4" w:space="0" w:color="auto"/>
            </w:tcBorders>
          </w:tcPr>
          <w:p w:rsidR="00372D76" w:rsidRPr="00D50F7A" w:rsidRDefault="00372D76" w:rsidP="0093200D">
            <w:pPr>
              <w:rPr>
                <w:sz w:val="20"/>
                <w:szCs w:val="20"/>
              </w:rPr>
            </w:pPr>
            <w:r>
              <w:rPr>
                <w:sz w:val="20"/>
                <w:szCs w:val="20"/>
              </w:rPr>
              <w:t>7. E</w:t>
            </w:r>
            <w:r w:rsidRPr="00D50F7A">
              <w:rPr>
                <w:sz w:val="20"/>
                <w:szCs w:val="20"/>
              </w:rPr>
              <w:t xml:space="preserve">ngaged students in </w:t>
            </w:r>
            <w:r w:rsidRPr="00D50F7A">
              <w:rPr>
                <w:i/>
                <w:sz w:val="20"/>
                <w:szCs w:val="20"/>
              </w:rPr>
              <w:t>discourse</w:t>
            </w:r>
            <w:r w:rsidRPr="00D50F7A">
              <w:rPr>
                <w:sz w:val="20"/>
                <w:szCs w:val="20"/>
              </w:rPr>
              <w:t xml:space="preserve"> about subject area concepts and issues related to the lesson</w:t>
            </w:r>
          </w:p>
          <w:p w:rsidR="00372D76" w:rsidRPr="00D50F7A" w:rsidRDefault="00372D76" w:rsidP="0093200D">
            <w:pPr>
              <w:rPr>
                <w:i/>
                <w:sz w:val="20"/>
                <w:szCs w:val="20"/>
              </w:rPr>
            </w:pPr>
            <w:r w:rsidRPr="00D50F7A">
              <w:rPr>
                <w:i/>
                <w:sz w:val="20"/>
                <w:szCs w:val="20"/>
              </w:rPr>
              <w:t>CCCT 3.8</w:t>
            </w:r>
          </w:p>
          <w:p w:rsidR="00372D76" w:rsidRPr="00D50F7A" w:rsidRDefault="00372D76" w:rsidP="0093200D">
            <w:pPr>
              <w:rPr>
                <w:b/>
                <w:i/>
                <w:sz w:val="20"/>
                <w:szCs w:val="20"/>
              </w:rPr>
            </w:pPr>
          </w:p>
          <w:p w:rsidR="00372D76" w:rsidRPr="00D50F7A" w:rsidRDefault="00372D76" w:rsidP="0093200D">
            <w:pPr>
              <w:rPr>
                <w:b/>
                <w:i/>
                <w:sz w:val="20"/>
                <w:szCs w:val="20"/>
              </w:rPr>
            </w:pPr>
          </w:p>
        </w:tc>
        <w:tc>
          <w:tcPr>
            <w:tcW w:w="2610" w:type="dxa"/>
          </w:tcPr>
          <w:p w:rsidR="00372D76" w:rsidRPr="00D50F7A" w:rsidRDefault="00372D76" w:rsidP="0093200D">
            <w:pPr>
              <w:rPr>
                <w:sz w:val="20"/>
                <w:szCs w:val="20"/>
              </w:rPr>
            </w:pPr>
            <w:r w:rsidRPr="00D50F7A">
              <w:rPr>
                <w:sz w:val="20"/>
                <w:szCs w:val="20"/>
              </w:rPr>
              <w:t xml:space="preserve">The class discourse provided multiple opportunities for students to express informed opinions. The students had several opportunities to demonstrate understanding of the content they were learning. </w:t>
            </w:r>
          </w:p>
          <w:p w:rsidR="00372D76" w:rsidRPr="00D50F7A" w:rsidRDefault="00372D76" w:rsidP="0093200D">
            <w:pPr>
              <w:ind w:left="360"/>
              <w:rPr>
                <w:sz w:val="20"/>
                <w:szCs w:val="20"/>
              </w:rPr>
            </w:pPr>
          </w:p>
          <w:p w:rsidR="00372D76" w:rsidRPr="00D50F7A" w:rsidRDefault="00372D76" w:rsidP="0093200D">
            <w:pPr>
              <w:rPr>
                <w:sz w:val="20"/>
                <w:szCs w:val="20"/>
              </w:rPr>
            </w:pPr>
          </w:p>
          <w:p w:rsidR="00372D76" w:rsidRPr="00D50F7A" w:rsidRDefault="00372D76" w:rsidP="0093200D">
            <w:pPr>
              <w:rPr>
                <w:sz w:val="20"/>
                <w:szCs w:val="20"/>
              </w:rPr>
            </w:pPr>
          </w:p>
          <w:p w:rsidR="00372D76" w:rsidRPr="00D50F7A" w:rsidRDefault="00372D76" w:rsidP="0093200D">
            <w:pPr>
              <w:rPr>
                <w:sz w:val="20"/>
                <w:szCs w:val="20"/>
              </w:rPr>
            </w:pPr>
          </w:p>
        </w:tc>
        <w:tc>
          <w:tcPr>
            <w:tcW w:w="2520" w:type="dxa"/>
          </w:tcPr>
          <w:p w:rsidR="00372D76" w:rsidRPr="00D50F7A" w:rsidRDefault="00372D76" w:rsidP="0093200D">
            <w:pPr>
              <w:rPr>
                <w:sz w:val="20"/>
                <w:szCs w:val="20"/>
              </w:rPr>
            </w:pPr>
            <w:r w:rsidRPr="00D50F7A">
              <w:rPr>
                <w:sz w:val="20"/>
                <w:szCs w:val="20"/>
              </w:rPr>
              <w:t>The class discourse included a mix of teacher-directed and student initiated discourse in which students had some opportunities to exchange ideas with the teacher.  The students had some opportunity to demonstrate understanding of the content they were learning.</w:t>
            </w:r>
          </w:p>
          <w:p w:rsidR="00372D76" w:rsidRPr="00D50F7A" w:rsidRDefault="00372D76" w:rsidP="0093200D">
            <w:pPr>
              <w:rPr>
                <w:sz w:val="20"/>
                <w:szCs w:val="20"/>
              </w:rPr>
            </w:pPr>
          </w:p>
        </w:tc>
        <w:tc>
          <w:tcPr>
            <w:tcW w:w="2430" w:type="dxa"/>
          </w:tcPr>
          <w:p w:rsidR="00372D76" w:rsidRPr="00D50F7A" w:rsidRDefault="00372D76" w:rsidP="0093200D">
            <w:pPr>
              <w:rPr>
                <w:sz w:val="20"/>
                <w:szCs w:val="20"/>
              </w:rPr>
            </w:pPr>
            <w:r w:rsidRPr="00D50F7A">
              <w:rPr>
                <w:sz w:val="20"/>
                <w:szCs w:val="20"/>
              </w:rPr>
              <w:t>The class discourse was primarily teacher-directed and the students did not have opportunities to demonstrate understanding of the content they were learning.</w:t>
            </w:r>
          </w:p>
          <w:p w:rsidR="00372D76" w:rsidRPr="00D50F7A" w:rsidRDefault="00372D76" w:rsidP="0093200D">
            <w:pPr>
              <w:rPr>
                <w:b/>
                <w:sz w:val="20"/>
                <w:szCs w:val="20"/>
              </w:rPr>
            </w:pPr>
          </w:p>
          <w:p w:rsidR="00372D76" w:rsidRPr="00D50F7A" w:rsidRDefault="00372D76" w:rsidP="0093200D">
            <w:pPr>
              <w:rPr>
                <w:b/>
                <w:sz w:val="20"/>
                <w:szCs w:val="20"/>
              </w:rPr>
            </w:pPr>
          </w:p>
          <w:p w:rsidR="00372D76" w:rsidRPr="00D50F7A" w:rsidRDefault="00372D76" w:rsidP="0093200D">
            <w:pPr>
              <w:rPr>
                <w:sz w:val="20"/>
                <w:szCs w:val="20"/>
              </w:rPr>
            </w:pPr>
          </w:p>
        </w:tc>
      </w:tr>
      <w:tr w:rsidR="00372D76" w:rsidTr="00FA02DB">
        <w:trPr>
          <w:trHeight w:val="1322"/>
        </w:trPr>
        <w:tc>
          <w:tcPr>
            <w:tcW w:w="2160" w:type="dxa"/>
          </w:tcPr>
          <w:p w:rsidR="00372D76" w:rsidRPr="00D50F7A" w:rsidRDefault="00372D76" w:rsidP="0093200D">
            <w:pPr>
              <w:rPr>
                <w:sz w:val="20"/>
                <w:szCs w:val="20"/>
              </w:rPr>
            </w:pPr>
            <w:r>
              <w:rPr>
                <w:sz w:val="20"/>
                <w:szCs w:val="20"/>
              </w:rPr>
              <w:t>8. D</w:t>
            </w:r>
            <w:r w:rsidRPr="00D50F7A">
              <w:rPr>
                <w:sz w:val="20"/>
                <w:szCs w:val="20"/>
              </w:rPr>
              <w:t>escribe how the Teacher Candidate monitored students’ daily learning and adjusted instruction</w:t>
            </w:r>
          </w:p>
          <w:p w:rsidR="00372D76" w:rsidRPr="00831EA3" w:rsidRDefault="00372D76" w:rsidP="0093200D">
            <w:pPr>
              <w:rPr>
                <w:i/>
                <w:sz w:val="20"/>
                <w:szCs w:val="20"/>
              </w:rPr>
            </w:pPr>
            <w:r>
              <w:rPr>
                <w:i/>
                <w:sz w:val="20"/>
                <w:szCs w:val="20"/>
              </w:rPr>
              <w:t>CCCT 5.4</w:t>
            </w:r>
          </w:p>
        </w:tc>
        <w:tc>
          <w:tcPr>
            <w:tcW w:w="2610" w:type="dxa"/>
          </w:tcPr>
          <w:p w:rsidR="00372D76" w:rsidRPr="00D50F7A" w:rsidRDefault="00372D76" w:rsidP="0093200D">
            <w:pPr>
              <w:rPr>
                <w:sz w:val="20"/>
                <w:szCs w:val="20"/>
              </w:rPr>
            </w:pPr>
            <w:r w:rsidRPr="00D50F7A">
              <w:rPr>
                <w:sz w:val="20"/>
                <w:szCs w:val="20"/>
              </w:rPr>
              <w:t xml:space="preserve">The Teacher Candidate monitored students’ learning mainly through whole class questioning and/or task completion </w:t>
            </w:r>
          </w:p>
        </w:tc>
        <w:tc>
          <w:tcPr>
            <w:tcW w:w="2520" w:type="dxa"/>
          </w:tcPr>
          <w:p w:rsidR="00372D76" w:rsidRPr="00D50F7A" w:rsidRDefault="00372D76" w:rsidP="0093200D">
            <w:pPr>
              <w:rPr>
                <w:sz w:val="20"/>
                <w:szCs w:val="20"/>
              </w:rPr>
            </w:pPr>
            <w:r w:rsidRPr="00D50F7A">
              <w:rPr>
                <w:sz w:val="20"/>
                <w:szCs w:val="20"/>
              </w:rPr>
              <w:t>The Teacher Candidate  monitored students’ learning through whole class questioning</w:t>
            </w:r>
          </w:p>
          <w:p w:rsidR="00372D76" w:rsidRPr="00D50F7A" w:rsidRDefault="00372D76" w:rsidP="0093200D">
            <w:pPr>
              <w:tabs>
                <w:tab w:val="num" w:pos="90"/>
              </w:tabs>
              <w:rPr>
                <w:sz w:val="20"/>
                <w:szCs w:val="20"/>
              </w:rPr>
            </w:pPr>
          </w:p>
          <w:p w:rsidR="00372D76" w:rsidRPr="00D50F7A" w:rsidRDefault="00372D76" w:rsidP="0093200D">
            <w:pPr>
              <w:tabs>
                <w:tab w:val="num" w:pos="90"/>
              </w:tabs>
              <w:rPr>
                <w:sz w:val="20"/>
                <w:szCs w:val="20"/>
              </w:rPr>
            </w:pPr>
          </w:p>
        </w:tc>
        <w:tc>
          <w:tcPr>
            <w:tcW w:w="2430" w:type="dxa"/>
          </w:tcPr>
          <w:p w:rsidR="00372D76" w:rsidRPr="00D50F7A" w:rsidRDefault="00372D76" w:rsidP="0093200D">
            <w:pPr>
              <w:rPr>
                <w:sz w:val="20"/>
                <w:szCs w:val="20"/>
              </w:rPr>
            </w:pPr>
            <w:r w:rsidRPr="00D50F7A">
              <w:rPr>
                <w:sz w:val="20"/>
                <w:szCs w:val="20"/>
              </w:rPr>
              <w:t>The Teacher Candidate did not monitor students’ learning</w:t>
            </w:r>
          </w:p>
        </w:tc>
      </w:tr>
      <w:tr w:rsidR="00372D76" w:rsidTr="00FA02DB">
        <w:trPr>
          <w:trHeight w:val="1547"/>
        </w:trPr>
        <w:tc>
          <w:tcPr>
            <w:tcW w:w="2160" w:type="dxa"/>
          </w:tcPr>
          <w:p w:rsidR="00372D76" w:rsidRPr="00D50F7A" w:rsidRDefault="00372D76" w:rsidP="0093200D">
            <w:pPr>
              <w:rPr>
                <w:i/>
                <w:sz w:val="20"/>
                <w:szCs w:val="20"/>
              </w:rPr>
            </w:pPr>
            <w:r>
              <w:rPr>
                <w:i/>
                <w:sz w:val="20"/>
                <w:szCs w:val="20"/>
              </w:rPr>
              <w:t xml:space="preserve">9. </w:t>
            </w:r>
            <w:r w:rsidRPr="00D50F7A">
              <w:rPr>
                <w:i/>
                <w:sz w:val="20"/>
                <w:szCs w:val="20"/>
              </w:rPr>
              <w:t>CCCT 4.5</w:t>
            </w:r>
          </w:p>
          <w:p w:rsidR="00372D76" w:rsidRPr="00D50F7A" w:rsidRDefault="00372D76" w:rsidP="0093200D">
            <w:pPr>
              <w:rPr>
                <w:b/>
                <w:i/>
                <w:sz w:val="20"/>
                <w:szCs w:val="20"/>
              </w:rPr>
            </w:pPr>
          </w:p>
        </w:tc>
        <w:tc>
          <w:tcPr>
            <w:tcW w:w="2610" w:type="dxa"/>
          </w:tcPr>
          <w:p w:rsidR="00372D76" w:rsidRPr="00D50F7A" w:rsidRDefault="00372D76" w:rsidP="0093200D">
            <w:pPr>
              <w:rPr>
                <w:sz w:val="20"/>
                <w:szCs w:val="20"/>
              </w:rPr>
            </w:pPr>
            <w:r w:rsidRPr="00D50F7A">
              <w:rPr>
                <w:sz w:val="20"/>
                <w:szCs w:val="20"/>
              </w:rPr>
              <w:t xml:space="preserve">The Teacher Candidate  made adjustments in instruction when necessary to address the learning needs of the whole class as well </w:t>
            </w:r>
            <w:r>
              <w:rPr>
                <w:sz w:val="20"/>
                <w:szCs w:val="20"/>
              </w:rPr>
              <w:t>as those of individual students</w:t>
            </w:r>
          </w:p>
        </w:tc>
        <w:tc>
          <w:tcPr>
            <w:tcW w:w="2520" w:type="dxa"/>
          </w:tcPr>
          <w:p w:rsidR="00372D76" w:rsidRPr="00D50F7A" w:rsidRDefault="00372D76" w:rsidP="0093200D">
            <w:pPr>
              <w:rPr>
                <w:sz w:val="20"/>
                <w:szCs w:val="20"/>
              </w:rPr>
            </w:pPr>
            <w:r w:rsidRPr="00D50F7A">
              <w:rPr>
                <w:sz w:val="20"/>
                <w:szCs w:val="20"/>
              </w:rPr>
              <w:t>The Teacher Candidate made limited adjustments in instruction to address the learning needs of the whole class.</w:t>
            </w:r>
          </w:p>
        </w:tc>
        <w:tc>
          <w:tcPr>
            <w:tcW w:w="2430" w:type="dxa"/>
          </w:tcPr>
          <w:p w:rsidR="00372D76" w:rsidRPr="00D50F7A" w:rsidRDefault="00372D76" w:rsidP="0093200D">
            <w:pPr>
              <w:rPr>
                <w:sz w:val="20"/>
                <w:szCs w:val="20"/>
              </w:rPr>
            </w:pPr>
            <w:r w:rsidRPr="00D50F7A">
              <w:rPr>
                <w:sz w:val="20"/>
                <w:szCs w:val="20"/>
              </w:rPr>
              <w:t>The Teacher Candidate  used instructional adjustments that were procedural in nature and did not generally a</w:t>
            </w:r>
            <w:r>
              <w:rPr>
                <w:sz w:val="20"/>
                <w:szCs w:val="20"/>
              </w:rPr>
              <w:t>ddress students’ learning needs</w:t>
            </w:r>
          </w:p>
        </w:tc>
      </w:tr>
      <w:tr w:rsidR="00372D76" w:rsidTr="00FA02DB">
        <w:trPr>
          <w:trHeight w:val="1700"/>
        </w:trPr>
        <w:tc>
          <w:tcPr>
            <w:tcW w:w="2160" w:type="dxa"/>
          </w:tcPr>
          <w:p w:rsidR="00372D76" w:rsidRPr="00D35504" w:rsidRDefault="00372D76" w:rsidP="0093200D">
            <w:pPr>
              <w:rPr>
                <w:i/>
                <w:sz w:val="20"/>
                <w:szCs w:val="20"/>
              </w:rPr>
            </w:pPr>
            <w:r>
              <w:rPr>
                <w:i/>
                <w:sz w:val="20"/>
                <w:szCs w:val="20"/>
              </w:rPr>
              <w:t xml:space="preserve">10. </w:t>
            </w:r>
            <w:r w:rsidRPr="00D35504">
              <w:rPr>
                <w:i/>
                <w:sz w:val="20"/>
                <w:szCs w:val="20"/>
              </w:rPr>
              <w:t>CCCT 5.5</w:t>
            </w:r>
          </w:p>
        </w:tc>
        <w:tc>
          <w:tcPr>
            <w:tcW w:w="2610" w:type="dxa"/>
          </w:tcPr>
          <w:p w:rsidR="00372D76" w:rsidRPr="00D50F7A" w:rsidRDefault="00372D76" w:rsidP="0093200D">
            <w:pPr>
              <w:rPr>
                <w:sz w:val="20"/>
                <w:szCs w:val="20"/>
              </w:rPr>
            </w:pPr>
            <w:r w:rsidRPr="00D50F7A">
              <w:rPr>
                <w:sz w:val="20"/>
                <w:szCs w:val="20"/>
              </w:rPr>
              <w:t>The teacher candidate provided feedback that was descriptive and helped students improve performance and assume responsibility for learning</w:t>
            </w:r>
          </w:p>
        </w:tc>
        <w:tc>
          <w:tcPr>
            <w:tcW w:w="2520" w:type="dxa"/>
          </w:tcPr>
          <w:p w:rsidR="00372D76" w:rsidRPr="00D50F7A" w:rsidRDefault="00372D76" w:rsidP="0093200D">
            <w:pPr>
              <w:tabs>
                <w:tab w:val="num" w:pos="90"/>
              </w:tabs>
              <w:ind w:left="13" w:hanging="13"/>
              <w:rPr>
                <w:sz w:val="20"/>
                <w:szCs w:val="20"/>
              </w:rPr>
            </w:pPr>
            <w:r w:rsidRPr="00D50F7A">
              <w:rPr>
                <w:sz w:val="20"/>
                <w:szCs w:val="20"/>
              </w:rPr>
              <w:t>The teacher candidate provided feedback that was too brief, general, and/or inaccurate that was not very helpful to students to improve performance and assume responsibility for learning</w:t>
            </w:r>
          </w:p>
        </w:tc>
        <w:tc>
          <w:tcPr>
            <w:tcW w:w="2430" w:type="dxa"/>
          </w:tcPr>
          <w:p w:rsidR="00372D76" w:rsidRPr="00D50F7A" w:rsidRDefault="00372D76" w:rsidP="0093200D">
            <w:pPr>
              <w:rPr>
                <w:sz w:val="20"/>
                <w:szCs w:val="20"/>
              </w:rPr>
            </w:pPr>
            <w:r w:rsidRPr="00D50F7A">
              <w:rPr>
                <w:sz w:val="20"/>
                <w:szCs w:val="20"/>
              </w:rPr>
              <w:t>The teacher candidate provided  no feedback</w:t>
            </w:r>
          </w:p>
        </w:tc>
      </w:tr>
      <w:tr w:rsidR="00372D76" w:rsidTr="00FA02DB">
        <w:trPr>
          <w:trHeight w:val="1700"/>
        </w:trPr>
        <w:tc>
          <w:tcPr>
            <w:tcW w:w="2160" w:type="dxa"/>
            <w:vMerge w:val="restart"/>
          </w:tcPr>
          <w:p w:rsidR="00372D76" w:rsidRPr="00D50F7A" w:rsidRDefault="00372D76" w:rsidP="0093200D">
            <w:pPr>
              <w:rPr>
                <w:sz w:val="20"/>
                <w:szCs w:val="20"/>
              </w:rPr>
            </w:pPr>
            <w:r>
              <w:rPr>
                <w:sz w:val="20"/>
                <w:szCs w:val="20"/>
              </w:rPr>
              <w:t>11</w:t>
            </w:r>
            <w:r w:rsidR="002B05EB">
              <w:rPr>
                <w:sz w:val="20"/>
                <w:szCs w:val="20"/>
              </w:rPr>
              <w:t xml:space="preserve"> &amp; 12</w:t>
            </w:r>
            <w:r>
              <w:rPr>
                <w:sz w:val="20"/>
                <w:szCs w:val="20"/>
              </w:rPr>
              <w:t xml:space="preserve">. </w:t>
            </w:r>
            <w:r w:rsidRPr="00D50F7A">
              <w:rPr>
                <w:sz w:val="20"/>
                <w:szCs w:val="20"/>
              </w:rPr>
              <w:t>Student assessments</w:t>
            </w:r>
          </w:p>
          <w:p w:rsidR="00372D76" w:rsidRPr="00D50F7A" w:rsidRDefault="00372D76" w:rsidP="0093200D">
            <w:pPr>
              <w:rPr>
                <w:i/>
                <w:sz w:val="20"/>
                <w:szCs w:val="20"/>
              </w:rPr>
            </w:pPr>
            <w:r w:rsidRPr="00D50F7A">
              <w:rPr>
                <w:i/>
                <w:sz w:val="20"/>
                <w:szCs w:val="20"/>
              </w:rPr>
              <w:t>CCCT 3.1</w:t>
            </w:r>
          </w:p>
          <w:p w:rsidR="00372D76" w:rsidRPr="00D50F7A" w:rsidRDefault="00372D76" w:rsidP="0093200D">
            <w:pPr>
              <w:rPr>
                <w:b/>
                <w:i/>
                <w:sz w:val="20"/>
                <w:szCs w:val="20"/>
              </w:rPr>
            </w:pPr>
          </w:p>
        </w:tc>
        <w:tc>
          <w:tcPr>
            <w:tcW w:w="2610" w:type="dxa"/>
          </w:tcPr>
          <w:p w:rsidR="00372D76" w:rsidRPr="00D50F7A" w:rsidRDefault="00372D76" w:rsidP="0093200D">
            <w:pPr>
              <w:rPr>
                <w:sz w:val="20"/>
                <w:szCs w:val="20"/>
              </w:rPr>
            </w:pPr>
            <w:r w:rsidRPr="00D50F7A">
              <w:rPr>
                <w:sz w:val="20"/>
                <w:szCs w:val="20"/>
              </w:rPr>
              <w:t>Assessments provided information about students’ prior knowledge/ misconceptions, understanding of the unit’s main concepts, the use of essential concept skills, and their ability to make connections between unit concepts and other concepts</w:t>
            </w:r>
          </w:p>
        </w:tc>
        <w:tc>
          <w:tcPr>
            <w:tcW w:w="2520" w:type="dxa"/>
          </w:tcPr>
          <w:p w:rsidR="00372D76" w:rsidRPr="00D50F7A" w:rsidRDefault="00372D76" w:rsidP="0093200D">
            <w:pPr>
              <w:tabs>
                <w:tab w:val="num" w:pos="90"/>
              </w:tabs>
              <w:ind w:left="13" w:hanging="13"/>
              <w:rPr>
                <w:sz w:val="20"/>
                <w:szCs w:val="20"/>
              </w:rPr>
            </w:pPr>
            <w:r w:rsidRPr="00D50F7A">
              <w:rPr>
                <w:sz w:val="20"/>
                <w:szCs w:val="20"/>
              </w:rPr>
              <w:t>The assessments provide information mainly about students’ prior knowledge of the unit’s content and the use of some essential content skills</w:t>
            </w:r>
          </w:p>
        </w:tc>
        <w:tc>
          <w:tcPr>
            <w:tcW w:w="2430" w:type="dxa"/>
          </w:tcPr>
          <w:p w:rsidR="00372D76" w:rsidRPr="00D50F7A" w:rsidRDefault="00372D76" w:rsidP="0093200D">
            <w:pPr>
              <w:rPr>
                <w:sz w:val="20"/>
                <w:szCs w:val="20"/>
              </w:rPr>
            </w:pPr>
            <w:r w:rsidRPr="00D50F7A">
              <w:rPr>
                <w:sz w:val="20"/>
                <w:szCs w:val="20"/>
              </w:rPr>
              <w:t xml:space="preserve">The assessments provided information mainly about students’ recall and summary of content </w:t>
            </w:r>
          </w:p>
        </w:tc>
      </w:tr>
      <w:tr w:rsidR="00372D76" w:rsidTr="00FA02DB">
        <w:trPr>
          <w:trHeight w:val="1502"/>
        </w:trPr>
        <w:tc>
          <w:tcPr>
            <w:tcW w:w="2160" w:type="dxa"/>
            <w:vMerge/>
          </w:tcPr>
          <w:p w:rsidR="00372D76" w:rsidRPr="00D50F7A" w:rsidRDefault="00372D76" w:rsidP="0093200D">
            <w:pPr>
              <w:rPr>
                <w:b/>
                <w:sz w:val="20"/>
                <w:szCs w:val="20"/>
              </w:rPr>
            </w:pPr>
          </w:p>
        </w:tc>
        <w:tc>
          <w:tcPr>
            <w:tcW w:w="2610" w:type="dxa"/>
          </w:tcPr>
          <w:p w:rsidR="00372D76" w:rsidRPr="00D50F7A" w:rsidRDefault="00372D76" w:rsidP="0093200D">
            <w:pPr>
              <w:rPr>
                <w:sz w:val="20"/>
                <w:szCs w:val="20"/>
              </w:rPr>
            </w:pPr>
            <w:r w:rsidRPr="00D50F7A">
              <w:rPr>
                <w:sz w:val="20"/>
                <w:szCs w:val="20"/>
              </w:rPr>
              <w:t xml:space="preserve">The Teacher Candidate used learning activities that included </w:t>
            </w:r>
            <w:r w:rsidRPr="00D50F7A">
              <w:rPr>
                <w:b/>
                <w:sz w:val="20"/>
                <w:szCs w:val="20"/>
              </w:rPr>
              <w:t xml:space="preserve">pre-/post-assessments (each with an answer key) </w:t>
            </w:r>
            <w:r w:rsidRPr="00D50F7A">
              <w:rPr>
                <w:sz w:val="20"/>
                <w:szCs w:val="20"/>
              </w:rPr>
              <w:t>to analyze effective student learning</w:t>
            </w:r>
          </w:p>
        </w:tc>
        <w:tc>
          <w:tcPr>
            <w:tcW w:w="2520" w:type="dxa"/>
          </w:tcPr>
          <w:p w:rsidR="00372D76" w:rsidRPr="00D50F7A" w:rsidRDefault="00372D76" w:rsidP="0093200D">
            <w:pPr>
              <w:rPr>
                <w:sz w:val="20"/>
                <w:szCs w:val="20"/>
              </w:rPr>
            </w:pPr>
            <w:r w:rsidRPr="00D50F7A">
              <w:rPr>
                <w:sz w:val="20"/>
                <w:szCs w:val="20"/>
              </w:rPr>
              <w:t xml:space="preserve">The Teacher Candidate used learning activities that included a </w:t>
            </w:r>
            <w:r w:rsidRPr="00D50F7A">
              <w:rPr>
                <w:b/>
                <w:sz w:val="20"/>
                <w:szCs w:val="20"/>
              </w:rPr>
              <w:t>pre-/post-assessment</w:t>
            </w:r>
            <w:r w:rsidRPr="00D50F7A">
              <w:rPr>
                <w:sz w:val="20"/>
                <w:szCs w:val="20"/>
              </w:rPr>
              <w:t xml:space="preserve"> to analyze effective student learning</w:t>
            </w:r>
          </w:p>
        </w:tc>
        <w:tc>
          <w:tcPr>
            <w:tcW w:w="2430" w:type="dxa"/>
          </w:tcPr>
          <w:p w:rsidR="00372D76" w:rsidRPr="00D50F7A" w:rsidRDefault="00372D76" w:rsidP="0093200D">
            <w:pPr>
              <w:rPr>
                <w:sz w:val="20"/>
                <w:szCs w:val="20"/>
              </w:rPr>
            </w:pPr>
            <w:r w:rsidRPr="00D50F7A">
              <w:rPr>
                <w:sz w:val="20"/>
                <w:szCs w:val="20"/>
              </w:rPr>
              <w:t xml:space="preserve">The Teacher Candidate used learning activities that did not include a </w:t>
            </w:r>
            <w:r w:rsidRPr="00D50F7A">
              <w:rPr>
                <w:b/>
                <w:sz w:val="20"/>
                <w:szCs w:val="20"/>
              </w:rPr>
              <w:t>pre-/post-assessment</w:t>
            </w:r>
            <w:r w:rsidRPr="00D50F7A">
              <w:rPr>
                <w:sz w:val="20"/>
                <w:szCs w:val="20"/>
              </w:rPr>
              <w:t xml:space="preserve"> to analyze student learning.</w:t>
            </w:r>
          </w:p>
        </w:tc>
      </w:tr>
      <w:tr w:rsidR="00372D76" w:rsidTr="00FA02DB">
        <w:trPr>
          <w:trHeight w:val="1430"/>
        </w:trPr>
        <w:tc>
          <w:tcPr>
            <w:tcW w:w="2160" w:type="dxa"/>
          </w:tcPr>
          <w:p w:rsidR="00372D76" w:rsidRPr="00D50F7A" w:rsidRDefault="002B05EB" w:rsidP="0093200D">
            <w:pPr>
              <w:rPr>
                <w:sz w:val="20"/>
                <w:szCs w:val="20"/>
              </w:rPr>
            </w:pPr>
            <w:r>
              <w:rPr>
                <w:sz w:val="20"/>
                <w:szCs w:val="20"/>
              </w:rPr>
              <w:t>13</w:t>
            </w:r>
            <w:r w:rsidR="00372D76">
              <w:rPr>
                <w:sz w:val="20"/>
                <w:szCs w:val="20"/>
              </w:rPr>
              <w:t xml:space="preserve">. </w:t>
            </w:r>
            <w:r w:rsidR="00372D76" w:rsidRPr="00D50F7A">
              <w:rPr>
                <w:sz w:val="20"/>
                <w:szCs w:val="20"/>
              </w:rPr>
              <w:t>Evaluation criteria</w:t>
            </w:r>
          </w:p>
          <w:p w:rsidR="00372D76" w:rsidRPr="00D50F7A" w:rsidRDefault="00372D76" w:rsidP="0093200D">
            <w:pPr>
              <w:rPr>
                <w:i/>
                <w:sz w:val="20"/>
                <w:szCs w:val="20"/>
              </w:rPr>
            </w:pPr>
            <w:r w:rsidRPr="00D50F7A">
              <w:rPr>
                <w:i/>
                <w:sz w:val="20"/>
                <w:szCs w:val="20"/>
              </w:rPr>
              <w:t>CCCT 5.5</w:t>
            </w:r>
          </w:p>
          <w:p w:rsidR="00372D76" w:rsidRPr="00D50F7A" w:rsidRDefault="00372D76" w:rsidP="0093200D">
            <w:pPr>
              <w:rPr>
                <w:b/>
                <w:sz w:val="20"/>
                <w:szCs w:val="20"/>
              </w:rPr>
            </w:pPr>
          </w:p>
        </w:tc>
        <w:tc>
          <w:tcPr>
            <w:tcW w:w="2610" w:type="dxa"/>
          </w:tcPr>
          <w:p w:rsidR="00372D76" w:rsidRPr="00D50F7A" w:rsidRDefault="00372D76" w:rsidP="0093200D">
            <w:pPr>
              <w:rPr>
                <w:sz w:val="20"/>
                <w:szCs w:val="20"/>
              </w:rPr>
            </w:pPr>
            <w:r w:rsidRPr="00D50F7A">
              <w:rPr>
                <w:sz w:val="20"/>
                <w:szCs w:val="20"/>
              </w:rPr>
              <w:t>The Teacher Candidate provided  students with grading criteria for  assessment</w:t>
            </w:r>
          </w:p>
          <w:p w:rsidR="00372D76" w:rsidRPr="00D50F7A" w:rsidRDefault="00372D76" w:rsidP="0093200D">
            <w:pPr>
              <w:rPr>
                <w:sz w:val="20"/>
                <w:szCs w:val="20"/>
              </w:rPr>
            </w:pPr>
          </w:p>
        </w:tc>
        <w:tc>
          <w:tcPr>
            <w:tcW w:w="2520" w:type="dxa"/>
          </w:tcPr>
          <w:p w:rsidR="00372D76" w:rsidRPr="00D50F7A" w:rsidRDefault="00372D76" w:rsidP="0093200D">
            <w:pPr>
              <w:rPr>
                <w:sz w:val="20"/>
                <w:szCs w:val="20"/>
              </w:rPr>
            </w:pPr>
            <w:r w:rsidRPr="00D50F7A">
              <w:rPr>
                <w:sz w:val="20"/>
                <w:szCs w:val="20"/>
              </w:rPr>
              <w:t>Grading criteria were limited and students would find them to be unhelpful in knowing how to do an assignment or how an assignment was scored</w:t>
            </w:r>
          </w:p>
        </w:tc>
        <w:tc>
          <w:tcPr>
            <w:tcW w:w="2430" w:type="dxa"/>
          </w:tcPr>
          <w:p w:rsidR="00372D76" w:rsidRPr="00D50F7A" w:rsidRDefault="00372D76" w:rsidP="0093200D">
            <w:pPr>
              <w:rPr>
                <w:sz w:val="20"/>
                <w:szCs w:val="20"/>
              </w:rPr>
            </w:pPr>
            <w:r w:rsidRPr="00D50F7A">
              <w:rPr>
                <w:sz w:val="20"/>
                <w:szCs w:val="20"/>
              </w:rPr>
              <w:t>No grading criteria were given</w:t>
            </w:r>
          </w:p>
        </w:tc>
      </w:tr>
      <w:tr w:rsidR="00372D76" w:rsidTr="00FA02DB">
        <w:trPr>
          <w:trHeight w:val="1259"/>
        </w:trPr>
        <w:tc>
          <w:tcPr>
            <w:tcW w:w="2160" w:type="dxa"/>
            <w:vMerge w:val="restart"/>
          </w:tcPr>
          <w:p w:rsidR="00372D76" w:rsidRPr="00D50F7A" w:rsidRDefault="002B05EB" w:rsidP="0093200D">
            <w:pPr>
              <w:rPr>
                <w:sz w:val="20"/>
                <w:szCs w:val="20"/>
              </w:rPr>
            </w:pPr>
            <w:r>
              <w:rPr>
                <w:sz w:val="20"/>
                <w:szCs w:val="20"/>
              </w:rPr>
              <w:t>14 &amp; 15</w:t>
            </w:r>
            <w:r w:rsidR="00372D76">
              <w:rPr>
                <w:sz w:val="20"/>
                <w:szCs w:val="20"/>
              </w:rPr>
              <w:t xml:space="preserve">. </w:t>
            </w:r>
            <w:r w:rsidR="00372D76" w:rsidRPr="00D50F7A">
              <w:rPr>
                <w:sz w:val="20"/>
                <w:szCs w:val="20"/>
              </w:rPr>
              <w:t>Data regarding student performance</w:t>
            </w:r>
          </w:p>
          <w:p w:rsidR="00372D76" w:rsidRPr="00D50F7A" w:rsidRDefault="00372D76" w:rsidP="0093200D">
            <w:pPr>
              <w:rPr>
                <w:i/>
                <w:sz w:val="20"/>
                <w:szCs w:val="20"/>
              </w:rPr>
            </w:pPr>
            <w:r w:rsidRPr="00D50F7A">
              <w:rPr>
                <w:i/>
                <w:sz w:val="20"/>
                <w:szCs w:val="20"/>
              </w:rPr>
              <w:t>CCCT 5.4</w:t>
            </w:r>
          </w:p>
          <w:p w:rsidR="00372D76" w:rsidRPr="00D50F7A" w:rsidRDefault="00372D76" w:rsidP="0093200D">
            <w:pPr>
              <w:rPr>
                <w:b/>
                <w:i/>
                <w:sz w:val="20"/>
                <w:szCs w:val="20"/>
              </w:rPr>
            </w:pPr>
          </w:p>
        </w:tc>
        <w:tc>
          <w:tcPr>
            <w:tcW w:w="2610" w:type="dxa"/>
          </w:tcPr>
          <w:p w:rsidR="00372D76" w:rsidRPr="00D50F7A" w:rsidRDefault="00372D76" w:rsidP="0093200D">
            <w:pPr>
              <w:rPr>
                <w:sz w:val="20"/>
                <w:szCs w:val="20"/>
              </w:rPr>
            </w:pPr>
            <w:r w:rsidRPr="00D50F7A">
              <w:rPr>
                <w:sz w:val="20"/>
                <w:szCs w:val="20"/>
              </w:rPr>
              <w:t xml:space="preserve">Pre- and post-assessment data are presented. The data interpretation and results clearly indicate how the teacher candidate impacted student content learning in a positive way. </w:t>
            </w:r>
          </w:p>
        </w:tc>
        <w:tc>
          <w:tcPr>
            <w:tcW w:w="2520" w:type="dxa"/>
          </w:tcPr>
          <w:p w:rsidR="00372D76" w:rsidRPr="00D50F7A" w:rsidRDefault="00372D76" w:rsidP="0093200D">
            <w:pPr>
              <w:rPr>
                <w:sz w:val="20"/>
                <w:szCs w:val="20"/>
              </w:rPr>
            </w:pPr>
            <w:r w:rsidRPr="00D50F7A">
              <w:rPr>
                <w:sz w:val="20"/>
                <w:szCs w:val="20"/>
              </w:rPr>
              <w:t xml:space="preserve">Pre- and post-data are provided but there are many scores missing – there is no justification for any missing scores. </w:t>
            </w:r>
          </w:p>
          <w:p w:rsidR="00372D76" w:rsidRPr="00D50F7A" w:rsidRDefault="00372D76" w:rsidP="0093200D">
            <w:pPr>
              <w:rPr>
                <w:sz w:val="20"/>
                <w:szCs w:val="20"/>
              </w:rPr>
            </w:pPr>
            <w:r w:rsidRPr="00D50F7A">
              <w:rPr>
                <w:sz w:val="20"/>
                <w:szCs w:val="20"/>
              </w:rPr>
              <w:t>The data interpretation and results provided some indication of how the teacher candidate impacted student content learning in a positive way.</w:t>
            </w:r>
          </w:p>
        </w:tc>
        <w:tc>
          <w:tcPr>
            <w:tcW w:w="2430" w:type="dxa"/>
          </w:tcPr>
          <w:p w:rsidR="00372D76" w:rsidRPr="00D50F7A" w:rsidRDefault="00372D76" w:rsidP="0093200D">
            <w:pPr>
              <w:rPr>
                <w:sz w:val="20"/>
                <w:szCs w:val="20"/>
              </w:rPr>
            </w:pPr>
            <w:r w:rsidRPr="00D50F7A">
              <w:rPr>
                <w:sz w:val="20"/>
                <w:szCs w:val="20"/>
              </w:rPr>
              <w:t>Pre- and post-data were missing or the data interpretation and results did not indicate how the teacher candidate impacted student content learning.</w:t>
            </w:r>
          </w:p>
        </w:tc>
      </w:tr>
      <w:tr w:rsidR="00372D76" w:rsidTr="00FA02DB">
        <w:trPr>
          <w:trHeight w:val="719"/>
        </w:trPr>
        <w:tc>
          <w:tcPr>
            <w:tcW w:w="2160" w:type="dxa"/>
            <w:vMerge/>
          </w:tcPr>
          <w:p w:rsidR="00372D76" w:rsidRPr="00D50F7A" w:rsidRDefault="00372D76" w:rsidP="0093200D">
            <w:pPr>
              <w:rPr>
                <w:b/>
                <w:sz w:val="20"/>
                <w:szCs w:val="20"/>
              </w:rPr>
            </w:pPr>
          </w:p>
        </w:tc>
        <w:tc>
          <w:tcPr>
            <w:tcW w:w="2610" w:type="dxa"/>
          </w:tcPr>
          <w:p w:rsidR="00372D76" w:rsidRPr="00D50F7A" w:rsidRDefault="00372D76" w:rsidP="0093200D">
            <w:pPr>
              <w:rPr>
                <w:sz w:val="20"/>
                <w:szCs w:val="20"/>
              </w:rPr>
            </w:pPr>
            <w:r w:rsidRPr="00D50F7A">
              <w:rPr>
                <w:sz w:val="20"/>
                <w:szCs w:val="20"/>
              </w:rPr>
              <w:t xml:space="preserve">Pre- and post-assessment data outcomes and lesson planning changes related to results are discussed </w:t>
            </w:r>
          </w:p>
        </w:tc>
        <w:tc>
          <w:tcPr>
            <w:tcW w:w="2520" w:type="dxa"/>
          </w:tcPr>
          <w:p w:rsidR="00372D76" w:rsidRPr="00D50F7A" w:rsidRDefault="00372D76" w:rsidP="0093200D">
            <w:pPr>
              <w:rPr>
                <w:sz w:val="20"/>
                <w:szCs w:val="20"/>
              </w:rPr>
            </w:pPr>
            <w:r w:rsidRPr="00D50F7A">
              <w:rPr>
                <w:sz w:val="20"/>
                <w:szCs w:val="20"/>
              </w:rPr>
              <w:t>There is limited discussion about how the pre-assessment informed lesson development</w:t>
            </w:r>
          </w:p>
        </w:tc>
        <w:tc>
          <w:tcPr>
            <w:tcW w:w="2430" w:type="dxa"/>
          </w:tcPr>
          <w:p w:rsidR="00372D76" w:rsidRPr="00D50F7A" w:rsidRDefault="00372D76" w:rsidP="0093200D">
            <w:pPr>
              <w:rPr>
                <w:sz w:val="20"/>
                <w:szCs w:val="20"/>
              </w:rPr>
            </w:pPr>
            <w:r w:rsidRPr="00D50F7A">
              <w:rPr>
                <w:sz w:val="20"/>
                <w:szCs w:val="20"/>
              </w:rPr>
              <w:t>There is no discussion about how the pre-assessment informed lesson development</w:t>
            </w:r>
          </w:p>
        </w:tc>
      </w:tr>
      <w:tr w:rsidR="00372D76" w:rsidTr="00FA02DB">
        <w:trPr>
          <w:trHeight w:val="1169"/>
        </w:trPr>
        <w:tc>
          <w:tcPr>
            <w:tcW w:w="2160" w:type="dxa"/>
          </w:tcPr>
          <w:p w:rsidR="00372D76" w:rsidRPr="00D50F7A" w:rsidRDefault="002B05EB" w:rsidP="0093200D">
            <w:pPr>
              <w:rPr>
                <w:sz w:val="20"/>
                <w:szCs w:val="20"/>
              </w:rPr>
            </w:pPr>
            <w:r>
              <w:rPr>
                <w:sz w:val="20"/>
                <w:szCs w:val="20"/>
              </w:rPr>
              <w:t>16</w:t>
            </w:r>
            <w:r w:rsidR="00372D76">
              <w:rPr>
                <w:sz w:val="20"/>
                <w:szCs w:val="20"/>
              </w:rPr>
              <w:t xml:space="preserve">. </w:t>
            </w:r>
            <w:r w:rsidR="00372D76" w:rsidRPr="00D50F7A">
              <w:rPr>
                <w:sz w:val="20"/>
                <w:szCs w:val="20"/>
              </w:rPr>
              <w:t>Visual aid representing data</w:t>
            </w:r>
          </w:p>
        </w:tc>
        <w:tc>
          <w:tcPr>
            <w:tcW w:w="2610" w:type="dxa"/>
          </w:tcPr>
          <w:p w:rsidR="00372D76" w:rsidRPr="00D50F7A" w:rsidRDefault="00372D76" w:rsidP="0093200D">
            <w:pPr>
              <w:rPr>
                <w:sz w:val="20"/>
                <w:szCs w:val="20"/>
              </w:rPr>
            </w:pPr>
            <w:r w:rsidRPr="00D50F7A">
              <w:rPr>
                <w:sz w:val="20"/>
                <w:szCs w:val="20"/>
              </w:rPr>
              <w:t>Visual aid represents data accurately and shows an understanding of the use of educational statistics to show test scores.</w:t>
            </w:r>
          </w:p>
        </w:tc>
        <w:tc>
          <w:tcPr>
            <w:tcW w:w="2520" w:type="dxa"/>
          </w:tcPr>
          <w:p w:rsidR="00372D76" w:rsidRPr="00D50F7A" w:rsidRDefault="00372D76" w:rsidP="0093200D">
            <w:pPr>
              <w:rPr>
                <w:sz w:val="20"/>
                <w:szCs w:val="20"/>
              </w:rPr>
            </w:pPr>
            <w:r w:rsidRPr="00D50F7A">
              <w:rPr>
                <w:sz w:val="20"/>
                <w:szCs w:val="20"/>
              </w:rPr>
              <w:t>Visual aid is simplistic and does not accurately represent the data.</w:t>
            </w:r>
          </w:p>
        </w:tc>
        <w:tc>
          <w:tcPr>
            <w:tcW w:w="2430" w:type="dxa"/>
          </w:tcPr>
          <w:p w:rsidR="00372D76" w:rsidRPr="00D50F7A" w:rsidRDefault="00372D76" w:rsidP="0093200D">
            <w:pPr>
              <w:rPr>
                <w:sz w:val="20"/>
                <w:szCs w:val="20"/>
              </w:rPr>
            </w:pPr>
            <w:r w:rsidRPr="00D50F7A">
              <w:rPr>
                <w:sz w:val="20"/>
                <w:szCs w:val="20"/>
              </w:rPr>
              <w:t>Visual aid is poorly developed or missing.</w:t>
            </w:r>
          </w:p>
        </w:tc>
      </w:tr>
      <w:tr w:rsidR="00372D76" w:rsidTr="00FA02DB">
        <w:trPr>
          <w:trHeight w:val="1520"/>
        </w:trPr>
        <w:tc>
          <w:tcPr>
            <w:tcW w:w="2160" w:type="dxa"/>
          </w:tcPr>
          <w:p w:rsidR="00372D76" w:rsidRPr="00D50F7A" w:rsidRDefault="002B05EB" w:rsidP="0093200D">
            <w:pPr>
              <w:rPr>
                <w:sz w:val="20"/>
                <w:szCs w:val="20"/>
              </w:rPr>
            </w:pPr>
            <w:r>
              <w:rPr>
                <w:sz w:val="20"/>
                <w:szCs w:val="20"/>
              </w:rPr>
              <w:t>17</w:t>
            </w:r>
            <w:r w:rsidR="00372D76">
              <w:rPr>
                <w:sz w:val="20"/>
                <w:szCs w:val="20"/>
              </w:rPr>
              <w:t xml:space="preserve">. </w:t>
            </w:r>
            <w:r w:rsidR="00372D76" w:rsidRPr="00D50F7A">
              <w:rPr>
                <w:sz w:val="20"/>
                <w:szCs w:val="20"/>
              </w:rPr>
              <w:t>Reflective commentary</w:t>
            </w:r>
          </w:p>
        </w:tc>
        <w:tc>
          <w:tcPr>
            <w:tcW w:w="2610" w:type="dxa"/>
          </w:tcPr>
          <w:p w:rsidR="00372D76" w:rsidRPr="00D50F7A" w:rsidRDefault="00372D76" w:rsidP="0093200D">
            <w:pPr>
              <w:pStyle w:val="BodyText"/>
              <w:rPr>
                <w:sz w:val="20"/>
                <w:szCs w:val="20"/>
              </w:rPr>
            </w:pPr>
            <w:r w:rsidRPr="00D50F7A">
              <w:rPr>
                <w:sz w:val="20"/>
                <w:szCs w:val="20"/>
              </w:rPr>
              <w:t xml:space="preserve">The reflective commentary and plans for future improvement of instruction centered on specific comments regarding teaching practices </w:t>
            </w:r>
            <w:r>
              <w:rPr>
                <w:sz w:val="20"/>
                <w:szCs w:val="20"/>
              </w:rPr>
              <w:t>and students’ learning outcomes.</w:t>
            </w:r>
          </w:p>
        </w:tc>
        <w:tc>
          <w:tcPr>
            <w:tcW w:w="2520" w:type="dxa"/>
          </w:tcPr>
          <w:p w:rsidR="00372D76" w:rsidRPr="00D50F7A" w:rsidRDefault="00372D76" w:rsidP="0093200D">
            <w:pPr>
              <w:pStyle w:val="BodyText"/>
              <w:rPr>
                <w:sz w:val="20"/>
                <w:szCs w:val="20"/>
              </w:rPr>
            </w:pPr>
            <w:r w:rsidRPr="00D50F7A">
              <w:rPr>
                <w:sz w:val="20"/>
                <w:szCs w:val="20"/>
              </w:rPr>
              <w:t>The reflective commentary and plans for future improvement of instruction included general connections between teaching &amp; learning without specific details</w:t>
            </w:r>
            <w:r>
              <w:rPr>
                <w:sz w:val="20"/>
                <w:szCs w:val="20"/>
              </w:rPr>
              <w:t>.</w:t>
            </w:r>
          </w:p>
        </w:tc>
        <w:tc>
          <w:tcPr>
            <w:tcW w:w="2430" w:type="dxa"/>
          </w:tcPr>
          <w:p w:rsidR="00372D76" w:rsidRPr="00D50F7A" w:rsidRDefault="00372D76" w:rsidP="0093200D">
            <w:pPr>
              <w:rPr>
                <w:sz w:val="20"/>
                <w:szCs w:val="20"/>
              </w:rPr>
            </w:pPr>
            <w:r w:rsidRPr="00D50F7A">
              <w:rPr>
                <w:sz w:val="20"/>
                <w:szCs w:val="20"/>
              </w:rPr>
              <w:t>There is li</w:t>
            </w:r>
            <w:r>
              <w:rPr>
                <w:sz w:val="20"/>
                <w:szCs w:val="20"/>
              </w:rPr>
              <w:t xml:space="preserve">ttle reflection evident and/or </w:t>
            </w:r>
            <w:r w:rsidRPr="00D50F7A">
              <w:rPr>
                <w:sz w:val="20"/>
                <w:szCs w:val="20"/>
              </w:rPr>
              <w:t>no plans for future improvements of instruction</w:t>
            </w:r>
            <w:r>
              <w:rPr>
                <w:sz w:val="20"/>
                <w:szCs w:val="20"/>
              </w:rPr>
              <w:t>.</w:t>
            </w:r>
          </w:p>
        </w:tc>
      </w:tr>
    </w:tbl>
    <w:p w:rsidR="00372D76" w:rsidRPr="00B829FA" w:rsidRDefault="00372D76" w:rsidP="00372D76">
      <w:pPr>
        <w:spacing w:after="120"/>
      </w:pPr>
    </w:p>
    <w:p w:rsidR="00DE4CB4" w:rsidRDefault="00DE4CB4" w:rsidP="00DE4CB4">
      <w:pPr>
        <w:spacing w:after="120"/>
      </w:pPr>
    </w:p>
    <w:p w:rsidR="00DE4CB4" w:rsidRDefault="00DE4CB4" w:rsidP="00DE4CB4">
      <w:pPr>
        <w:spacing w:after="120"/>
      </w:pPr>
    </w:p>
    <w:p w:rsidR="00372D76" w:rsidRDefault="00372D76" w:rsidP="00DE4CB4">
      <w:pPr>
        <w:jc w:val="center"/>
        <w:rPr>
          <w:b/>
          <w:i/>
          <w:sz w:val="28"/>
          <w:szCs w:val="28"/>
        </w:rPr>
      </w:pPr>
    </w:p>
    <w:p w:rsidR="00372D76" w:rsidRDefault="00372D76" w:rsidP="00DE4CB4">
      <w:pPr>
        <w:jc w:val="center"/>
        <w:rPr>
          <w:b/>
          <w:i/>
          <w:sz w:val="28"/>
          <w:szCs w:val="28"/>
        </w:rPr>
      </w:pPr>
    </w:p>
    <w:p w:rsidR="00372D76" w:rsidRDefault="00372D76" w:rsidP="00DE4CB4">
      <w:pPr>
        <w:jc w:val="center"/>
        <w:rPr>
          <w:b/>
          <w:i/>
          <w:sz w:val="28"/>
          <w:szCs w:val="28"/>
        </w:rPr>
      </w:pPr>
    </w:p>
    <w:p w:rsidR="00372D76" w:rsidRDefault="00372D76" w:rsidP="00DE4CB4">
      <w:pPr>
        <w:jc w:val="center"/>
        <w:rPr>
          <w:b/>
          <w:i/>
          <w:sz w:val="28"/>
          <w:szCs w:val="28"/>
        </w:rPr>
      </w:pPr>
    </w:p>
    <w:p w:rsidR="00372D76" w:rsidRDefault="00372D76" w:rsidP="00DE4CB4">
      <w:pPr>
        <w:jc w:val="center"/>
        <w:rPr>
          <w:b/>
          <w:i/>
          <w:sz w:val="28"/>
          <w:szCs w:val="28"/>
        </w:rPr>
      </w:pPr>
    </w:p>
    <w:p w:rsidR="007C474D" w:rsidRDefault="007C474D" w:rsidP="00DE4CB4">
      <w:pPr>
        <w:jc w:val="center"/>
        <w:rPr>
          <w:b/>
          <w:i/>
          <w:sz w:val="28"/>
          <w:szCs w:val="28"/>
        </w:rPr>
      </w:pPr>
    </w:p>
    <w:p w:rsidR="007C474D" w:rsidRDefault="007C474D" w:rsidP="00DE4CB4">
      <w:pPr>
        <w:jc w:val="center"/>
        <w:rPr>
          <w:b/>
          <w:i/>
          <w:sz w:val="28"/>
          <w:szCs w:val="28"/>
        </w:rPr>
      </w:pPr>
    </w:p>
    <w:p w:rsidR="007C474D" w:rsidRDefault="007C474D" w:rsidP="00DE4CB4">
      <w:pPr>
        <w:jc w:val="center"/>
        <w:rPr>
          <w:b/>
          <w:i/>
          <w:sz w:val="28"/>
          <w:szCs w:val="28"/>
        </w:rPr>
      </w:pPr>
    </w:p>
    <w:p w:rsidR="00372D76" w:rsidRDefault="00372D76" w:rsidP="00DE4CB4">
      <w:pPr>
        <w:jc w:val="center"/>
        <w:rPr>
          <w:b/>
          <w:i/>
          <w:sz w:val="28"/>
          <w:szCs w:val="28"/>
        </w:rPr>
      </w:pPr>
    </w:p>
    <w:p w:rsidR="00372D76" w:rsidRDefault="00372D76" w:rsidP="00DE4CB4">
      <w:pPr>
        <w:jc w:val="center"/>
        <w:rPr>
          <w:b/>
          <w:i/>
          <w:sz w:val="28"/>
          <w:szCs w:val="28"/>
        </w:rPr>
      </w:pPr>
    </w:p>
    <w:p w:rsidR="00372D76" w:rsidRDefault="00372D76" w:rsidP="00DE4CB4">
      <w:pPr>
        <w:jc w:val="center"/>
        <w:rPr>
          <w:b/>
          <w:i/>
          <w:sz w:val="28"/>
          <w:szCs w:val="28"/>
        </w:rPr>
      </w:pPr>
    </w:p>
    <w:p w:rsidR="00372D76" w:rsidRDefault="00372D76" w:rsidP="00DE4CB4">
      <w:pPr>
        <w:jc w:val="center"/>
        <w:rPr>
          <w:b/>
          <w:i/>
          <w:sz w:val="28"/>
          <w:szCs w:val="28"/>
        </w:rPr>
      </w:pPr>
    </w:p>
    <w:p w:rsidR="00DE4CB4" w:rsidRPr="00B829FA" w:rsidRDefault="00DE4CB4" w:rsidP="00372D76">
      <w:pPr>
        <w:spacing w:before="120" w:after="120"/>
        <w:jc w:val="center"/>
      </w:pPr>
    </w:p>
    <w:p w:rsidR="00E758B4" w:rsidRDefault="00E758B4">
      <w:pPr>
        <w:spacing w:after="200" w:line="276" w:lineRule="auto"/>
        <w:rPr>
          <w:b/>
          <w:i/>
          <w:sz w:val="28"/>
          <w:szCs w:val="28"/>
        </w:rPr>
      </w:pPr>
    </w:p>
    <w:p w:rsidR="00E758B4" w:rsidRDefault="00E758B4" w:rsidP="00E758B4"/>
    <w:p w:rsidR="004B25F0" w:rsidRDefault="004B25F0" w:rsidP="004B25F0">
      <w:pPr>
        <w:spacing w:after="120"/>
        <w:jc w:val="center"/>
        <w:rPr>
          <w:b/>
          <w:sz w:val="22"/>
          <w:szCs w:val="22"/>
        </w:rPr>
      </w:pPr>
      <w:r w:rsidRPr="00E611C5">
        <w:rPr>
          <w:b/>
          <w:sz w:val="22"/>
          <w:szCs w:val="22"/>
        </w:rPr>
        <w:t>Part B</w:t>
      </w:r>
    </w:p>
    <w:p w:rsidR="004B25F0" w:rsidRDefault="004B25F0" w:rsidP="004B25F0">
      <w:pPr>
        <w:spacing w:after="120"/>
        <w:jc w:val="center"/>
        <w:rPr>
          <w:b/>
          <w:sz w:val="22"/>
          <w:szCs w:val="22"/>
        </w:rPr>
      </w:pPr>
      <w:r>
        <w:rPr>
          <w:b/>
          <w:sz w:val="22"/>
          <w:szCs w:val="22"/>
        </w:rPr>
        <w:t>Student Teaching/Impact Portfolio</w:t>
      </w:r>
      <w:r w:rsidRPr="009013C9">
        <w:rPr>
          <w:b/>
          <w:sz w:val="22"/>
          <w:szCs w:val="22"/>
        </w:rPr>
        <w:t xml:space="preserve"> Rubric</w:t>
      </w:r>
      <w:r>
        <w:rPr>
          <w:b/>
          <w:sz w:val="22"/>
          <w:szCs w:val="22"/>
        </w:rPr>
        <w:t xml:space="preserve"> for Secondary Mathematics</w:t>
      </w:r>
    </w:p>
    <w:p w:rsidR="004B25F0" w:rsidRPr="009013C9" w:rsidRDefault="004B25F0" w:rsidP="004B25F0">
      <w:pPr>
        <w:spacing w:after="120"/>
        <w:jc w:val="center"/>
        <w:rPr>
          <w:b/>
          <w:sz w:val="22"/>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700"/>
        <w:gridCol w:w="2520"/>
        <w:gridCol w:w="2502"/>
      </w:tblGrid>
      <w:tr w:rsidR="004B25F0" w:rsidRPr="0038064A" w:rsidTr="0093200D">
        <w:tc>
          <w:tcPr>
            <w:tcW w:w="1818" w:type="dxa"/>
          </w:tcPr>
          <w:p w:rsidR="004B25F0" w:rsidRPr="0038064A" w:rsidRDefault="004B25F0" w:rsidP="0093200D">
            <w:pPr>
              <w:rPr>
                <w:sz w:val="20"/>
              </w:rPr>
            </w:pPr>
          </w:p>
        </w:tc>
        <w:tc>
          <w:tcPr>
            <w:tcW w:w="2700" w:type="dxa"/>
          </w:tcPr>
          <w:p w:rsidR="004B25F0" w:rsidRPr="008232A2" w:rsidRDefault="004B25F0" w:rsidP="0093200D">
            <w:pPr>
              <w:rPr>
                <w:b/>
                <w:bCs/>
                <w:sz w:val="20"/>
              </w:rPr>
            </w:pPr>
            <w:r w:rsidRPr="0038064A">
              <w:rPr>
                <w:b/>
                <w:bCs/>
                <w:sz w:val="20"/>
              </w:rPr>
              <w:t>Target</w:t>
            </w:r>
            <w:r>
              <w:rPr>
                <w:b/>
                <w:bCs/>
                <w:sz w:val="20"/>
              </w:rPr>
              <w:t xml:space="preserve"> (3</w:t>
            </w:r>
            <w:r w:rsidRPr="0038064A">
              <w:rPr>
                <w:b/>
                <w:bCs/>
                <w:sz w:val="20"/>
              </w:rPr>
              <w:t>)</w:t>
            </w:r>
          </w:p>
        </w:tc>
        <w:tc>
          <w:tcPr>
            <w:tcW w:w="2520" w:type="dxa"/>
          </w:tcPr>
          <w:p w:rsidR="004B25F0" w:rsidRPr="008232A2" w:rsidRDefault="004B25F0" w:rsidP="0093200D">
            <w:pPr>
              <w:rPr>
                <w:b/>
                <w:bCs/>
                <w:sz w:val="20"/>
              </w:rPr>
            </w:pPr>
            <w:r>
              <w:rPr>
                <w:b/>
                <w:bCs/>
                <w:sz w:val="20"/>
              </w:rPr>
              <w:t>Acceptable (2</w:t>
            </w:r>
            <w:r w:rsidRPr="0038064A">
              <w:rPr>
                <w:b/>
                <w:bCs/>
                <w:sz w:val="20"/>
              </w:rPr>
              <w:t>)</w:t>
            </w:r>
          </w:p>
        </w:tc>
        <w:tc>
          <w:tcPr>
            <w:tcW w:w="2502" w:type="dxa"/>
          </w:tcPr>
          <w:p w:rsidR="004B25F0" w:rsidRPr="008232A2" w:rsidRDefault="004B25F0" w:rsidP="0093200D">
            <w:pPr>
              <w:rPr>
                <w:b/>
                <w:bCs/>
                <w:sz w:val="20"/>
              </w:rPr>
            </w:pPr>
            <w:r w:rsidRPr="0038064A">
              <w:rPr>
                <w:b/>
                <w:bCs/>
                <w:sz w:val="20"/>
              </w:rPr>
              <w:t>Unacceptable (</w:t>
            </w:r>
            <w:r>
              <w:rPr>
                <w:b/>
                <w:bCs/>
                <w:sz w:val="20"/>
              </w:rPr>
              <w:t>1</w:t>
            </w:r>
            <w:r w:rsidRPr="0038064A">
              <w:rPr>
                <w:b/>
                <w:bCs/>
                <w:sz w:val="20"/>
              </w:rPr>
              <w:t>)</w:t>
            </w:r>
          </w:p>
        </w:tc>
      </w:tr>
      <w:tr w:rsidR="004B25F0" w:rsidRPr="0038064A" w:rsidTr="0093200D">
        <w:tc>
          <w:tcPr>
            <w:tcW w:w="1818" w:type="dxa"/>
          </w:tcPr>
          <w:p w:rsidR="004B25F0" w:rsidRPr="00385755" w:rsidRDefault="004B25F0" w:rsidP="0093200D">
            <w:pPr>
              <w:rPr>
                <w:b/>
                <w:bCs/>
                <w:sz w:val="20"/>
              </w:rPr>
            </w:pPr>
            <w:r>
              <w:rPr>
                <w:b/>
                <w:bCs/>
                <w:sz w:val="20"/>
              </w:rPr>
              <w:t xml:space="preserve">1. </w:t>
            </w:r>
            <w:r w:rsidRPr="00385755">
              <w:rPr>
                <w:b/>
                <w:bCs/>
                <w:sz w:val="20"/>
              </w:rPr>
              <w:t>Knowledge of Curriculum Standards</w:t>
            </w:r>
          </w:p>
          <w:p w:rsidR="004B25F0" w:rsidRDefault="004B25F0" w:rsidP="0093200D">
            <w:pPr>
              <w:rPr>
                <w:bCs/>
                <w:sz w:val="20"/>
              </w:rPr>
            </w:pPr>
          </w:p>
          <w:p w:rsidR="004B25F0" w:rsidRPr="00B46062" w:rsidRDefault="004B25F0" w:rsidP="0093200D">
            <w:pPr>
              <w:rPr>
                <w:bCs/>
                <w:sz w:val="20"/>
              </w:rPr>
            </w:pPr>
            <w:r w:rsidRPr="00FD0249">
              <w:rPr>
                <w:bCs/>
                <w:sz w:val="20"/>
              </w:rPr>
              <w:t>N</w:t>
            </w:r>
            <w:r>
              <w:rPr>
                <w:bCs/>
                <w:sz w:val="20"/>
              </w:rPr>
              <w:t>CTM CAEP</w:t>
            </w:r>
            <w:r w:rsidRPr="00FD0249">
              <w:rPr>
                <w:bCs/>
                <w:sz w:val="20"/>
              </w:rPr>
              <w:t xml:space="preserve"> Standards 2012,</w:t>
            </w:r>
            <w:r>
              <w:rPr>
                <w:bCs/>
                <w:sz w:val="20"/>
              </w:rPr>
              <w:t xml:space="preserve"> 3a</w:t>
            </w:r>
          </w:p>
        </w:tc>
        <w:tc>
          <w:tcPr>
            <w:tcW w:w="2700" w:type="dxa"/>
          </w:tcPr>
          <w:p w:rsidR="004B25F0" w:rsidRPr="00B46062" w:rsidRDefault="004B25F0" w:rsidP="0093200D">
            <w:pPr>
              <w:rPr>
                <w:color w:val="000000" w:themeColor="text1"/>
                <w:sz w:val="20"/>
              </w:rPr>
            </w:pPr>
            <w:r w:rsidRPr="00140FBA">
              <w:rPr>
                <w:b/>
                <w:bCs/>
                <w:color w:val="000000" w:themeColor="text1"/>
                <w:sz w:val="20"/>
              </w:rPr>
              <w:t>Extensively</w:t>
            </w:r>
            <w:r>
              <w:rPr>
                <w:color w:val="000000" w:themeColor="text1"/>
                <w:sz w:val="20"/>
              </w:rPr>
              <w:t xml:space="preserve"> applies k</w:t>
            </w:r>
            <w:r w:rsidRPr="003511A2">
              <w:rPr>
                <w:color w:val="000000" w:themeColor="text1"/>
                <w:sz w:val="20"/>
              </w:rPr>
              <w:t>nowledge of curriculum standards</w:t>
            </w:r>
            <w:r>
              <w:rPr>
                <w:color w:val="000000" w:themeColor="text1"/>
                <w:sz w:val="20"/>
              </w:rPr>
              <w:t xml:space="preserve"> </w:t>
            </w:r>
            <w:r w:rsidRPr="003511A2">
              <w:rPr>
                <w:color w:val="000000" w:themeColor="text1"/>
                <w:sz w:val="20"/>
              </w:rPr>
              <w:t>for secondary mathematics and their relationship to student learning within and across mathematical domains.</w:t>
            </w:r>
          </w:p>
        </w:tc>
        <w:tc>
          <w:tcPr>
            <w:tcW w:w="2520" w:type="dxa"/>
          </w:tcPr>
          <w:p w:rsidR="004B25F0" w:rsidRPr="0038064A" w:rsidRDefault="004B25F0" w:rsidP="0093200D">
            <w:pPr>
              <w:rPr>
                <w:sz w:val="20"/>
              </w:rPr>
            </w:pPr>
            <w:r>
              <w:rPr>
                <w:color w:val="000000" w:themeColor="text1"/>
                <w:sz w:val="20"/>
              </w:rPr>
              <w:t>Applies k</w:t>
            </w:r>
            <w:r w:rsidRPr="003511A2">
              <w:rPr>
                <w:color w:val="000000" w:themeColor="text1"/>
                <w:sz w:val="20"/>
              </w:rPr>
              <w:t>nowledge of curriculum standards</w:t>
            </w:r>
            <w:r>
              <w:rPr>
                <w:color w:val="000000" w:themeColor="text1"/>
                <w:sz w:val="20"/>
              </w:rPr>
              <w:t xml:space="preserve"> </w:t>
            </w:r>
            <w:r w:rsidRPr="003511A2">
              <w:rPr>
                <w:color w:val="000000" w:themeColor="text1"/>
                <w:sz w:val="20"/>
              </w:rPr>
              <w:t>for secondary mathematics and their relationship to student learning within and across mathematical domains.</w:t>
            </w:r>
          </w:p>
        </w:tc>
        <w:tc>
          <w:tcPr>
            <w:tcW w:w="2502" w:type="dxa"/>
          </w:tcPr>
          <w:p w:rsidR="004B25F0" w:rsidRPr="0038064A" w:rsidRDefault="004B25F0" w:rsidP="0093200D">
            <w:pPr>
              <w:rPr>
                <w:sz w:val="20"/>
              </w:rPr>
            </w:pPr>
            <w:r>
              <w:rPr>
                <w:color w:val="000000" w:themeColor="text1"/>
                <w:sz w:val="20"/>
              </w:rPr>
              <w:t>Does not apply k</w:t>
            </w:r>
            <w:r w:rsidRPr="003511A2">
              <w:rPr>
                <w:color w:val="000000" w:themeColor="text1"/>
                <w:sz w:val="20"/>
              </w:rPr>
              <w:t>nowledge of curriculum standar</w:t>
            </w:r>
            <w:r>
              <w:rPr>
                <w:color w:val="000000" w:themeColor="text1"/>
                <w:sz w:val="20"/>
              </w:rPr>
              <w:t>ds for secondary mathematics or</w:t>
            </w:r>
            <w:r w:rsidRPr="003511A2">
              <w:rPr>
                <w:color w:val="000000" w:themeColor="text1"/>
                <w:sz w:val="20"/>
              </w:rPr>
              <w:t xml:space="preserve"> their relationship to student learning within and across mathematical domains.</w:t>
            </w:r>
          </w:p>
        </w:tc>
      </w:tr>
      <w:tr w:rsidR="004B25F0" w:rsidRPr="0038064A" w:rsidTr="0093200D">
        <w:tc>
          <w:tcPr>
            <w:tcW w:w="1818" w:type="dxa"/>
          </w:tcPr>
          <w:p w:rsidR="004B25F0" w:rsidRDefault="004B25F0" w:rsidP="0093200D">
            <w:pPr>
              <w:rPr>
                <w:b/>
                <w:bCs/>
                <w:sz w:val="20"/>
              </w:rPr>
            </w:pPr>
            <w:r>
              <w:rPr>
                <w:b/>
                <w:bCs/>
                <w:sz w:val="20"/>
              </w:rPr>
              <w:t>2. Analysis and Use of Research</w:t>
            </w:r>
          </w:p>
          <w:p w:rsidR="004B25F0" w:rsidRDefault="004B25F0" w:rsidP="0093200D">
            <w:pPr>
              <w:rPr>
                <w:bCs/>
                <w:sz w:val="20"/>
              </w:rPr>
            </w:pPr>
          </w:p>
          <w:p w:rsidR="004B25F0"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3b </w:t>
            </w:r>
          </w:p>
        </w:tc>
        <w:tc>
          <w:tcPr>
            <w:tcW w:w="2700" w:type="dxa"/>
          </w:tcPr>
          <w:p w:rsidR="004B25F0" w:rsidRPr="0038064A" w:rsidRDefault="004B25F0" w:rsidP="0093200D">
            <w:pPr>
              <w:rPr>
                <w:sz w:val="20"/>
              </w:rPr>
            </w:pPr>
            <w:r w:rsidRPr="00140FBA">
              <w:rPr>
                <w:b/>
                <w:bCs/>
                <w:sz w:val="20"/>
              </w:rPr>
              <w:t>Extensively</w:t>
            </w:r>
            <w:r>
              <w:rPr>
                <w:sz w:val="20"/>
              </w:rPr>
              <w:t xml:space="preserve"> a</w:t>
            </w:r>
            <w:r w:rsidRPr="003511A2">
              <w:rPr>
                <w:sz w:val="20"/>
              </w:rPr>
              <w:t>nalyze</w:t>
            </w:r>
            <w:r>
              <w:rPr>
                <w:sz w:val="20"/>
              </w:rPr>
              <w:t>s</w:t>
            </w:r>
            <w:r w:rsidRPr="003511A2">
              <w:rPr>
                <w:sz w:val="20"/>
              </w:rPr>
              <w:t xml:space="preserve"> and consider</w:t>
            </w:r>
            <w:r>
              <w:rPr>
                <w:sz w:val="20"/>
              </w:rPr>
              <w:t>s</w:t>
            </w:r>
            <w:r w:rsidRPr="003511A2">
              <w:rPr>
                <w:rFonts w:eastAsia="Calibri"/>
                <w:sz w:val="20"/>
              </w:rPr>
              <w:t xml:space="preserve"> research in planning for and leading students in rich mathematical learning experiences.</w:t>
            </w:r>
          </w:p>
        </w:tc>
        <w:tc>
          <w:tcPr>
            <w:tcW w:w="2520" w:type="dxa"/>
          </w:tcPr>
          <w:p w:rsidR="004B25F0" w:rsidRPr="0038064A" w:rsidRDefault="004B25F0" w:rsidP="0093200D">
            <w:pPr>
              <w:rPr>
                <w:sz w:val="20"/>
              </w:rPr>
            </w:pPr>
            <w:r w:rsidRPr="003511A2">
              <w:rPr>
                <w:sz w:val="20"/>
              </w:rPr>
              <w:t>Analyze</w:t>
            </w:r>
            <w:r>
              <w:rPr>
                <w:sz w:val="20"/>
              </w:rPr>
              <w:t>s</w:t>
            </w:r>
            <w:r w:rsidRPr="003511A2">
              <w:rPr>
                <w:sz w:val="20"/>
              </w:rPr>
              <w:t xml:space="preserve"> and consider</w:t>
            </w:r>
            <w:r>
              <w:rPr>
                <w:sz w:val="20"/>
              </w:rPr>
              <w:t>s</w:t>
            </w:r>
            <w:r w:rsidRPr="003511A2">
              <w:rPr>
                <w:rFonts w:eastAsia="Calibri"/>
                <w:sz w:val="20"/>
              </w:rPr>
              <w:t xml:space="preserve"> research in planning for and leading students in rich mathematical learning experiences.</w:t>
            </w:r>
          </w:p>
        </w:tc>
        <w:tc>
          <w:tcPr>
            <w:tcW w:w="2502" w:type="dxa"/>
          </w:tcPr>
          <w:p w:rsidR="004B25F0" w:rsidRPr="0038064A" w:rsidRDefault="004B25F0" w:rsidP="0093200D">
            <w:pPr>
              <w:rPr>
                <w:sz w:val="20"/>
              </w:rPr>
            </w:pPr>
            <w:r>
              <w:rPr>
                <w:sz w:val="20"/>
              </w:rPr>
              <w:t>Does not a</w:t>
            </w:r>
            <w:r w:rsidRPr="003511A2">
              <w:rPr>
                <w:sz w:val="20"/>
              </w:rPr>
              <w:t>nalyze</w:t>
            </w:r>
            <w:r>
              <w:rPr>
                <w:sz w:val="20"/>
              </w:rPr>
              <w:t xml:space="preserve"> or</w:t>
            </w:r>
            <w:r w:rsidRPr="003511A2">
              <w:rPr>
                <w:sz w:val="20"/>
              </w:rPr>
              <w:t xml:space="preserve"> consider</w:t>
            </w:r>
            <w:r w:rsidRPr="003511A2">
              <w:rPr>
                <w:rFonts w:eastAsia="Calibri"/>
                <w:sz w:val="20"/>
              </w:rPr>
              <w:t xml:space="preserve"> research in planning for and leading students in rich mathematical learning experiences.</w:t>
            </w:r>
          </w:p>
        </w:tc>
      </w:tr>
      <w:tr w:rsidR="004B25F0" w:rsidRPr="0038064A" w:rsidTr="0093200D">
        <w:tc>
          <w:tcPr>
            <w:tcW w:w="1818" w:type="dxa"/>
          </w:tcPr>
          <w:p w:rsidR="004B25F0" w:rsidRDefault="004B25F0" w:rsidP="0093200D">
            <w:pPr>
              <w:rPr>
                <w:b/>
                <w:bCs/>
                <w:sz w:val="20"/>
              </w:rPr>
            </w:pPr>
            <w:r>
              <w:rPr>
                <w:b/>
                <w:bCs/>
                <w:sz w:val="20"/>
              </w:rPr>
              <w:t>3. Dealing with Diverse L</w:t>
            </w:r>
            <w:r w:rsidRPr="0038064A">
              <w:rPr>
                <w:b/>
                <w:bCs/>
                <w:sz w:val="20"/>
              </w:rPr>
              <w:t>earners</w:t>
            </w:r>
            <w:r>
              <w:rPr>
                <w:b/>
                <w:bCs/>
                <w:sz w:val="20"/>
              </w:rPr>
              <w:t xml:space="preserve"> and Using Mathematics-Specific and Instructional Technology</w:t>
            </w:r>
          </w:p>
          <w:p w:rsidR="004B25F0" w:rsidRDefault="004B25F0" w:rsidP="0093200D">
            <w:pPr>
              <w:rPr>
                <w:bCs/>
                <w:sz w:val="20"/>
              </w:rPr>
            </w:pPr>
          </w:p>
          <w:p w:rsidR="004B25F0" w:rsidRPr="0038064A"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3c </w:t>
            </w:r>
          </w:p>
        </w:tc>
        <w:tc>
          <w:tcPr>
            <w:tcW w:w="2700" w:type="dxa"/>
          </w:tcPr>
          <w:p w:rsidR="004B25F0" w:rsidRPr="0038064A" w:rsidRDefault="004B25F0" w:rsidP="0093200D">
            <w:pPr>
              <w:rPr>
                <w:sz w:val="20"/>
              </w:rPr>
            </w:pPr>
            <w:r w:rsidRPr="003511A2">
              <w:rPr>
                <w:rFonts w:eastAsia="Calibri"/>
                <w:sz w:val="20"/>
              </w:rPr>
              <w:t>Plan</w:t>
            </w:r>
            <w:r>
              <w:rPr>
                <w:rFonts w:eastAsia="Calibri"/>
                <w:sz w:val="20"/>
              </w:rPr>
              <w:t>s</w:t>
            </w:r>
            <w:r w:rsidRPr="003511A2">
              <w:rPr>
                <w:rFonts w:eastAsia="Calibri"/>
                <w:sz w:val="20"/>
              </w:rPr>
              <w:t xml:space="preserve"> </w:t>
            </w:r>
            <w:r w:rsidRPr="00140FBA">
              <w:rPr>
                <w:rFonts w:eastAsia="Calibri"/>
                <w:b/>
                <w:bCs/>
                <w:sz w:val="20"/>
              </w:rPr>
              <w:t>high quality</w:t>
            </w:r>
            <w:r>
              <w:rPr>
                <w:rFonts w:eastAsia="Calibri"/>
                <w:sz w:val="20"/>
              </w:rPr>
              <w:t xml:space="preserve"> </w:t>
            </w:r>
            <w:r w:rsidRPr="003511A2">
              <w:rPr>
                <w:rFonts w:eastAsia="Calibri"/>
                <w:sz w:val="20"/>
              </w:rPr>
              <w:t xml:space="preserve">lessons </w:t>
            </w:r>
            <w:r w:rsidRPr="003511A2">
              <w:rPr>
                <w:sz w:val="20"/>
              </w:rPr>
              <w:t>and units that incorporate</w:t>
            </w:r>
            <w:r w:rsidRPr="003511A2">
              <w:rPr>
                <w:rFonts w:eastAsia="Calibri"/>
                <w:sz w:val="20"/>
              </w:rPr>
              <w:t xml:space="preserve"> a variety of strategies, differentiated instruction for diverse populations, and </w:t>
            </w:r>
            <w:r w:rsidRPr="003511A2">
              <w:rPr>
                <w:sz w:val="20"/>
              </w:rPr>
              <w:t xml:space="preserve">mathematics-specific and instructional </w:t>
            </w:r>
            <w:r w:rsidRPr="003511A2">
              <w:rPr>
                <w:rFonts w:eastAsia="Calibri"/>
                <w:sz w:val="20"/>
              </w:rPr>
              <w:t>technolog</w:t>
            </w:r>
            <w:r w:rsidRPr="003511A2">
              <w:rPr>
                <w:sz w:val="20"/>
              </w:rPr>
              <w:t>ies</w:t>
            </w:r>
            <w:r w:rsidRPr="003511A2">
              <w:rPr>
                <w:rFonts w:eastAsia="Calibri"/>
                <w:sz w:val="20"/>
              </w:rPr>
              <w:t xml:space="preserve"> in building all students’ conceptual understanding and procedural proficiency</w:t>
            </w:r>
            <w:r w:rsidRPr="003511A2">
              <w:rPr>
                <w:sz w:val="20"/>
              </w:rPr>
              <w:t>.</w:t>
            </w:r>
          </w:p>
        </w:tc>
        <w:tc>
          <w:tcPr>
            <w:tcW w:w="2520" w:type="dxa"/>
          </w:tcPr>
          <w:p w:rsidR="004B25F0" w:rsidRPr="0038064A" w:rsidRDefault="004B25F0" w:rsidP="0093200D">
            <w:pPr>
              <w:rPr>
                <w:sz w:val="20"/>
              </w:rPr>
            </w:pPr>
            <w:r w:rsidRPr="003511A2">
              <w:rPr>
                <w:rFonts w:eastAsia="Calibri"/>
                <w:sz w:val="20"/>
              </w:rPr>
              <w:t>Plan</w:t>
            </w:r>
            <w:r>
              <w:rPr>
                <w:rFonts w:eastAsia="Calibri"/>
                <w:sz w:val="20"/>
              </w:rPr>
              <w:t>s</w:t>
            </w:r>
            <w:r w:rsidRPr="003511A2">
              <w:rPr>
                <w:rFonts w:eastAsia="Calibri"/>
                <w:sz w:val="20"/>
              </w:rPr>
              <w:t xml:space="preserve"> lessons </w:t>
            </w:r>
            <w:r w:rsidRPr="003511A2">
              <w:rPr>
                <w:sz w:val="20"/>
              </w:rPr>
              <w:t>and units that incorporate</w:t>
            </w:r>
            <w:r w:rsidRPr="003511A2">
              <w:rPr>
                <w:rFonts w:eastAsia="Calibri"/>
                <w:sz w:val="20"/>
              </w:rPr>
              <w:t xml:space="preserve"> a variety of strategies, differentiated instruction for diverse populations, and </w:t>
            </w:r>
            <w:r w:rsidRPr="003511A2">
              <w:rPr>
                <w:sz w:val="20"/>
              </w:rPr>
              <w:t xml:space="preserve">mathematics-specific and instructional </w:t>
            </w:r>
            <w:r w:rsidRPr="003511A2">
              <w:rPr>
                <w:rFonts w:eastAsia="Calibri"/>
                <w:sz w:val="20"/>
              </w:rPr>
              <w:t>technolog</w:t>
            </w:r>
            <w:r w:rsidRPr="003511A2">
              <w:rPr>
                <w:sz w:val="20"/>
              </w:rPr>
              <w:t>ies</w:t>
            </w:r>
            <w:r w:rsidRPr="003511A2">
              <w:rPr>
                <w:rFonts w:eastAsia="Calibri"/>
                <w:sz w:val="20"/>
              </w:rPr>
              <w:t xml:space="preserve"> in building all students’ conceptual understanding and procedural proficiency</w:t>
            </w:r>
            <w:r w:rsidRPr="003511A2">
              <w:rPr>
                <w:sz w:val="20"/>
              </w:rPr>
              <w:t>.</w:t>
            </w:r>
          </w:p>
        </w:tc>
        <w:tc>
          <w:tcPr>
            <w:tcW w:w="2502" w:type="dxa"/>
          </w:tcPr>
          <w:p w:rsidR="004B25F0" w:rsidRPr="0038064A" w:rsidRDefault="004B25F0" w:rsidP="0093200D">
            <w:pPr>
              <w:rPr>
                <w:sz w:val="20"/>
              </w:rPr>
            </w:pPr>
            <w:r>
              <w:rPr>
                <w:rFonts w:eastAsia="Calibri"/>
                <w:sz w:val="20"/>
              </w:rPr>
              <w:t>Does not p</w:t>
            </w:r>
            <w:r w:rsidRPr="003511A2">
              <w:rPr>
                <w:rFonts w:eastAsia="Calibri"/>
                <w:sz w:val="20"/>
              </w:rPr>
              <w:t xml:space="preserve">lan lessons </w:t>
            </w:r>
            <w:r w:rsidRPr="003511A2">
              <w:rPr>
                <w:sz w:val="20"/>
              </w:rPr>
              <w:t>and units that incorporate</w:t>
            </w:r>
            <w:r w:rsidRPr="003511A2">
              <w:rPr>
                <w:rFonts w:eastAsia="Calibri"/>
                <w:sz w:val="20"/>
              </w:rPr>
              <w:t xml:space="preserve"> a variety of strategies, differentiated instruction for diverse populations, and </w:t>
            </w:r>
            <w:r w:rsidRPr="003511A2">
              <w:rPr>
                <w:sz w:val="20"/>
              </w:rPr>
              <w:t xml:space="preserve">mathematics-specific and instructional </w:t>
            </w:r>
            <w:r w:rsidRPr="003511A2">
              <w:rPr>
                <w:rFonts w:eastAsia="Calibri"/>
                <w:sz w:val="20"/>
              </w:rPr>
              <w:t>technolog</w:t>
            </w:r>
            <w:r w:rsidRPr="003511A2">
              <w:rPr>
                <w:sz w:val="20"/>
              </w:rPr>
              <w:t>ies</w:t>
            </w:r>
            <w:r w:rsidRPr="003511A2">
              <w:rPr>
                <w:rFonts w:eastAsia="Calibri"/>
                <w:sz w:val="20"/>
              </w:rPr>
              <w:t xml:space="preserve"> in building all students’ conceptual understanding and procedural proficiency</w:t>
            </w:r>
            <w:r w:rsidRPr="003511A2">
              <w:rPr>
                <w:sz w:val="20"/>
              </w:rPr>
              <w:t>.</w:t>
            </w:r>
          </w:p>
        </w:tc>
      </w:tr>
      <w:tr w:rsidR="004B25F0" w:rsidRPr="0038064A" w:rsidTr="0093200D">
        <w:tc>
          <w:tcPr>
            <w:tcW w:w="1818" w:type="dxa"/>
          </w:tcPr>
          <w:p w:rsidR="004B25F0" w:rsidRDefault="004B25F0" w:rsidP="0093200D">
            <w:pPr>
              <w:rPr>
                <w:b/>
                <w:bCs/>
                <w:sz w:val="20"/>
              </w:rPr>
            </w:pPr>
            <w:r>
              <w:rPr>
                <w:b/>
                <w:bCs/>
                <w:sz w:val="20"/>
              </w:rPr>
              <w:t>4. Opportunities for Mathematical Communication and Connection</w:t>
            </w:r>
          </w:p>
          <w:p w:rsidR="004B25F0" w:rsidRDefault="004B25F0" w:rsidP="0093200D">
            <w:pPr>
              <w:rPr>
                <w:bCs/>
                <w:sz w:val="20"/>
              </w:rPr>
            </w:pPr>
          </w:p>
          <w:p w:rsidR="004B25F0"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3d </w:t>
            </w:r>
          </w:p>
        </w:tc>
        <w:tc>
          <w:tcPr>
            <w:tcW w:w="2700" w:type="dxa"/>
          </w:tcPr>
          <w:p w:rsidR="004B25F0" w:rsidRDefault="004B25F0" w:rsidP="0093200D">
            <w:r w:rsidRPr="003511A2">
              <w:rPr>
                <w:rFonts w:eastAsia="Calibri"/>
                <w:sz w:val="20"/>
              </w:rPr>
              <w:t>Provide</w:t>
            </w:r>
            <w:r>
              <w:rPr>
                <w:rFonts w:eastAsia="Calibri"/>
                <w:sz w:val="20"/>
              </w:rPr>
              <w:t>s</w:t>
            </w:r>
            <w:r w:rsidRPr="003511A2">
              <w:rPr>
                <w:rFonts w:eastAsia="Calibri"/>
                <w:sz w:val="20"/>
              </w:rPr>
              <w:t xml:space="preserve"> students with</w:t>
            </w:r>
            <w:r>
              <w:rPr>
                <w:rFonts w:eastAsia="Calibri"/>
                <w:sz w:val="20"/>
              </w:rPr>
              <w:t xml:space="preserve"> </w:t>
            </w:r>
            <w:r w:rsidRPr="00140FBA">
              <w:rPr>
                <w:rFonts w:eastAsia="Calibri"/>
                <w:b/>
                <w:bCs/>
                <w:sz w:val="20"/>
              </w:rPr>
              <w:t>frequent</w:t>
            </w:r>
            <w:r w:rsidRPr="003511A2">
              <w:rPr>
                <w:rFonts w:eastAsia="Calibri"/>
                <w:sz w:val="20"/>
              </w:rPr>
              <w:t xml:space="preserve"> opportunit</w:t>
            </w:r>
            <w:r w:rsidRPr="003511A2">
              <w:rPr>
                <w:sz w:val="20"/>
              </w:rPr>
              <w:t>ies</w:t>
            </w:r>
            <w:r w:rsidRPr="003511A2">
              <w:rPr>
                <w:rFonts w:eastAsia="Calibri"/>
                <w:sz w:val="20"/>
              </w:rPr>
              <w:t xml:space="preserve"> to communicate about mathematics and make connections </w:t>
            </w:r>
            <w:r w:rsidRPr="003511A2">
              <w:rPr>
                <w:sz w:val="20"/>
              </w:rPr>
              <w:t>among</w:t>
            </w:r>
            <w:r w:rsidRPr="003511A2">
              <w:rPr>
                <w:rFonts w:eastAsia="Calibri"/>
                <w:sz w:val="20"/>
              </w:rPr>
              <w:t xml:space="preserve"> mathematics, other content areas, </w:t>
            </w:r>
            <w:r w:rsidRPr="003511A2">
              <w:rPr>
                <w:sz w:val="20"/>
              </w:rPr>
              <w:t xml:space="preserve">everyday life, </w:t>
            </w:r>
            <w:r w:rsidRPr="003511A2">
              <w:rPr>
                <w:rFonts w:eastAsia="Calibri"/>
                <w:sz w:val="20"/>
              </w:rPr>
              <w:t xml:space="preserve">and the </w:t>
            </w:r>
            <w:r w:rsidRPr="003511A2">
              <w:rPr>
                <w:sz w:val="20"/>
              </w:rPr>
              <w:t>workplace.</w:t>
            </w:r>
          </w:p>
        </w:tc>
        <w:tc>
          <w:tcPr>
            <w:tcW w:w="2520" w:type="dxa"/>
          </w:tcPr>
          <w:p w:rsidR="004B25F0" w:rsidRDefault="004B25F0" w:rsidP="0093200D">
            <w:r w:rsidRPr="003511A2">
              <w:rPr>
                <w:rFonts w:eastAsia="Calibri"/>
                <w:sz w:val="20"/>
              </w:rPr>
              <w:t>Provide</w:t>
            </w:r>
            <w:r>
              <w:rPr>
                <w:rFonts w:eastAsia="Calibri"/>
                <w:sz w:val="20"/>
              </w:rPr>
              <w:t>s</w:t>
            </w:r>
            <w:r w:rsidRPr="003511A2">
              <w:rPr>
                <w:rFonts w:eastAsia="Calibri"/>
                <w:sz w:val="20"/>
              </w:rPr>
              <w:t xml:space="preserve"> students with </w:t>
            </w:r>
            <w:r w:rsidRPr="00140FBA">
              <w:rPr>
                <w:rFonts w:eastAsia="Calibri"/>
                <w:b/>
                <w:bCs/>
                <w:sz w:val="20"/>
              </w:rPr>
              <w:t>some</w:t>
            </w:r>
            <w:r>
              <w:rPr>
                <w:rFonts w:eastAsia="Calibri"/>
                <w:sz w:val="20"/>
              </w:rPr>
              <w:t xml:space="preserve"> </w:t>
            </w:r>
            <w:r w:rsidRPr="003511A2">
              <w:rPr>
                <w:rFonts w:eastAsia="Calibri"/>
                <w:sz w:val="20"/>
              </w:rPr>
              <w:t>opportunit</w:t>
            </w:r>
            <w:r w:rsidRPr="003511A2">
              <w:rPr>
                <w:sz w:val="20"/>
              </w:rPr>
              <w:t>ies</w:t>
            </w:r>
            <w:r w:rsidRPr="003511A2">
              <w:rPr>
                <w:rFonts w:eastAsia="Calibri"/>
                <w:sz w:val="20"/>
              </w:rPr>
              <w:t xml:space="preserve"> to communicate about mathematics and make connections </w:t>
            </w:r>
            <w:r w:rsidRPr="003511A2">
              <w:rPr>
                <w:sz w:val="20"/>
              </w:rPr>
              <w:t>among</w:t>
            </w:r>
            <w:r w:rsidRPr="003511A2">
              <w:rPr>
                <w:rFonts w:eastAsia="Calibri"/>
                <w:sz w:val="20"/>
              </w:rPr>
              <w:t xml:space="preserve"> mathematics, other content areas, </w:t>
            </w:r>
            <w:r w:rsidRPr="003511A2">
              <w:rPr>
                <w:sz w:val="20"/>
              </w:rPr>
              <w:t xml:space="preserve">everyday life, </w:t>
            </w:r>
            <w:r w:rsidRPr="003511A2">
              <w:rPr>
                <w:rFonts w:eastAsia="Calibri"/>
                <w:sz w:val="20"/>
              </w:rPr>
              <w:t xml:space="preserve">and the </w:t>
            </w:r>
            <w:r w:rsidRPr="003511A2">
              <w:rPr>
                <w:sz w:val="20"/>
              </w:rPr>
              <w:t>workplace.</w:t>
            </w:r>
          </w:p>
        </w:tc>
        <w:tc>
          <w:tcPr>
            <w:tcW w:w="2502" w:type="dxa"/>
          </w:tcPr>
          <w:p w:rsidR="004B25F0" w:rsidRDefault="004B25F0" w:rsidP="0093200D">
            <w:r>
              <w:rPr>
                <w:rFonts w:eastAsia="Calibri"/>
                <w:sz w:val="20"/>
              </w:rPr>
              <w:t>Does not p</w:t>
            </w:r>
            <w:r w:rsidRPr="003511A2">
              <w:rPr>
                <w:rFonts w:eastAsia="Calibri"/>
                <w:sz w:val="20"/>
              </w:rPr>
              <w:t>rovide students with opportunit</w:t>
            </w:r>
            <w:r w:rsidRPr="003511A2">
              <w:rPr>
                <w:sz w:val="20"/>
              </w:rPr>
              <w:t>ies</w:t>
            </w:r>
            <w:r w:rsidRPr="003511A2">
              <w:rPr>
                <w:rFonts w:eastAsia="Calibri"/>
                <w:sz w:val="20"/>
              </w:rPr>
              <w:t xml:space="preserve"> to c</w:t>
            </w:r>
            <w:r>
              <w:rPr>
                <w:rFonts w:eastAsia="Calibri"/>
                <w:sz w:val="20"/>
              </w:rPr>
              <w:t>ommunicate about mathematics or</w:t>
            </w:r>
            <w:r w:rsidRPr="003511A2">
              <w:rPr>
                <w:rFonts w:eastAsia="Calibri"/>
                <w:sz w:val="20"/>
              </w:rPr>
              <w:t xml:space="preserve"> make connections </w:t>
            </w:r>
            <w:r w:rsidRPr="003511A2">
              <w:rPr>
                <w:sz w:val="20"/>
              </w:rPr>
              <w:t>among</w:t>
            </w:r>
            <w:r w:rsidRPr="003511A2">
              <w:rPr>
                <w:rFonts w:eastAsia="Calibri"/>
                <w:sz w:val="20"/>
              </w:rPr>
              <w:t xml:space="preserve"> mathematics, other content areas, </w:t>
            </w:r>
            <w:r w:rsidRPr="003511A2">
              <w:rPr>
                <w:sz w:val="20"/>
              </w:rPr>
              <w:t xml:space="preserve">everyday life, </w:t>
            </w:r>
            <w:r w:rsidRPr="003511A2">
              <w:rPr>
                <w:rFonts w:eastAsia="Calibri"/>
                <w:sz w:val="20"/>
              </w:rPr>
              <w:t xml:space="preserve">and the </w:t>
            </w:r>
            <w:r w:rsidRPr="003511A2">
              <w:rPr>
                <w:sz w:val="20"/>
              </w:rPr>
              <w:t>workplace.</w:t>
            </w:r>
          </w:p>
        </w:tc>
      </w:tr>
      <w:tr w:rsidR="004B25F0" w:rsidRPr="0038064A" w:rsidTr="0093200D">
        <w:tc>
          <w:tcPr>
            <w:tcW w:w="1818" w:type="dxa"/>
          </w:tcPr>
          <w:p w:rsidR="004B25F0" w:rsidRDefault="004B25F0" w:rsidP="0093200D">
            <w:pPr>
              <w:rPr>
                <w:b/>
                <w:bCs/>
                <w:sz w:val="20"/>
              </w:rPr>
            </w:pPr>
            <w:r>
              <w:rPr>
                <w:b/>
                <w:bCs/>
                <w:sz w:val="20"/>
              </w:rPr>
              <w:t>5. Engaging Students in High Quality Tasks</w:t>
            </w:r>
          </w:p>
          <w:p w:rsidR="004B25F0" w:rsidRDefault="004B25F0" w:rsidP="0093200D">
            <w:pPr>
              <w:rPr>
                <w:bCs/>
                <w:sz w:val="20"/>
              </w:rPr>
            </w:pPr>
          </w:p>
          <w:p w:rsidR="004B25F0"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3e</w:t>
            </w:r>
          </w:p>
        </w:tc>
        <w:tc>
          <w:tcPr>
            <w:tcW w:w="2700" w:type="dxa"/>
          </w:tcPr>
          <w:p w:rsidR="004B25F0" w:rsidRPr="003511A2" w:rsidRDefault="004B25F0" w:rsidP="0093200D">
            <w:pPr>
              <w:rPr>
                <w:rFonts w:eastAsia="Calibri"/>
                <w:sz w:val="20"/>
              </w:rPr>
            </w:pPr>
            <w:r w:rsidRPr="003511A2">
              <w:rPr>
                <w:sz w:val="20"/>
              </w:rPr>
              <w:t>Implement</w:t>
            </w:r>
            <w:r>
              <w:rPr>
                <w:sz w:val="20"/>
              </w:rPr>
              <w:t xml:space="preserve">s </w:t>
            </w:r>
            <w:r w:rsidRPr="00FC2C0E">
              <w:rPr>
                <w:b/>
                <w:bCs/>
                <w:sz w:val="20"/>
              </w:rPr>
              <w:t xml:space="preserve">multiple </w:t>
            </w:r>
            <w:r w:rsidRPr="003511A2">
              <w:rPr>
                <w:sz w:val="20"/>
              </w:rPr>
              <w:t>techniques related to student engagement and communication including selecting high quality tasks, guiding mathematical discussions, identifying key mathematical ideas, identifying and addressing student misconceptions, and employing a range of questioning strategies.</w:t>
            </w:r>
          </w:p>
          <w:p w:rsidR="004B25F0" w:rsidRDefault="004B25F0" w:rsidP="0093200D">
            <w:pPr>
              <w:rPr>
                <w:rFonts w:eastAsia="Calibri"/>
                <w:sz w:val="20"/>
              </w:rPr>
            </w:pPr>
          </w:p>
        </w:tc>
        <w:tc>
          <w:tcPr>
            <w:tcW w:w="2520" w:type="dxa"/>
          </w:tcPr>
          <w:p w:rsidR="004B25F0" w:rsidRDefault="004B25F0" w:rsidP="0093200D">
            <w:pPr>
              <w:rPr>
                <w:rFonts w:eastAsia="Calibri"/>
                <w:sz w:val="20"/>
              </w:rPr>
            </w:pPr>
            <w:r w:rsidRPr="003511A2">
              <w:rPr>
                <w:sz w:val="20"/>
              </w:rPr>
              <w:t>Implement</w:t>
            </w:r>
            <w:r>
              <w:rPr>
                <w:sz w:val="20"/>
              </w:rPr>
              <w:t>s</w:t>
            </w:r>
            <w:r w:rsidRPr="003511A2">
              <w:rPr>
                <w:sz w:val="20"/>
              </w:rPr>
              <w:t xml:space="preserve"> techniques related to student engagement and communication including selecting high quality tasks, guiding mathematical discussions, identifying key mathematical ideas, identifying and addressing student misconceptions, and employing a range of questioning strategies.</w:t>
            </w:r>
          </w:p>
        </w:tc>
        <w:tc>
          <w:tcPr>
            <w:tcW w:w="2502" w:type="dxa"/>
          </w:tcPr>
          <w:p w:rsidR="004B25F0" w:rsidRDefault="004B25F0" w:rsidP="0093200D">
            <w:pPr>
              <w:rPr>
                <w:rFonts w:eastAsia="Calibri"/>
                <w:sz w:val="20"/>
              </w:rPr>
            </w:pPr>
            <w:r>
              <w:rPr>
                <w:sz w:val="20"/>
              </w:rPr>
              <w:t>Does not i</w:t>
            </w:r>
            <w:r w:rsidRPr="003511A2">
              <w:rPr>
                <w:sz w:val="20"/>
              </w:rPr>
              <w:t>mplement techniques related to student engagement and communication including selecting high quality tasks, guiding mathematical discussions, identifying key mathematical ideas, identifying and addres</w:t>
            </w:r>
            <w:r>
              <w:rPr>
                <w:sz w:val="20"/>
              </w:rPr>
              <w:t>sing student misconceptions, or</w:t>
            </w:r>
            <w:r w:rsidRPr="003511A2">
              <w:rPr>
                <w:sz w:val="20"/>
              </w:rPr>
              <w:t xml:space="preserve"> employing a range of questioning strategies.</w:t>
            </w:r>
          </w:p>
        </w:tc>
      </w:tr>
      <w:tr w:rsidR="004B25F0" w:rsidRPr="0038064A" w:rsidTr="0093200D">
        <w:tc>
          <w:tcPr>
            <w:tcW w:w="1818" w:type="dxa"/>
          </w:tcPr>
          <w:p w:rsidR="004B25F0" w:rsidRDefault="004B25F0" w:rsidP="0093200D">
            <w:pPr>
              <w:rPr>
                <w:b/>
                <w:bCs/>
                <w:sz w:val="20"/>
              </w:rPr>
            </w:pPr>
            <w:r>
              <w:br w:type="page"/>
            </w:r>
            <w:r w:rsidRPr="00385755">
              <w:rPr>
                <w:sz w:val="20"/>
              </w:rPr>
              <w:t>6.</w:t>
            </w:r>
            <w:r>
              <w:t xml:space="preserve"> </w:t>
            </w:r>
            <w:r w:rsidRPr="0038064A">
              <w:rPr>
                <w:b/>
                <w:bCs/>
                <w:sz w:val="20"/>
              </w:rPr>
              <w:t xml:space="preserve">Assessment </w:t>
            </w:r>
            <w:r>
              <w:rPr>
                <w:b/>
                <w:bCs/>
                <w:sz w:val="20"/>
              </w:rPr>
              <w:t>s</w:t>
            </w:r>
            <w:r w:rsidRPr="0038064A">
              <w:rPr>
                <w:b/>
                <w:bCs/>
                <w:sz w:val="20"/>
              </w:rPr>
              <w:t>trategies</w:t>
            </w:r>
          </w:p>
          <w:p w:rsidR="004B25F0" w:rsidRDefault="004B25F0" w:rsidP="0093200D">
            <w:pPr>
              <w:rPr>
                <w:bCs/>
                <w:sz w:val="20"/>
              </w:rPr>
            </w:pPr>
          </w:p>
          <w:p w:rsidR="004B25F0" w:rsidRPr="0038064A"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3f</w:t>
            </w:r>
          </w:p>
        </w:tc>
        <w:tc>
          <w:tcPr>
            <w:tcW w:w="2700" w:type="dxa"/>
          </w:tcPr>
          <w:p w:rsidR="004B25F0" w:rsidRPr="0038064A" w:rsidRDefault="004B25F0" w:rsidP="0093200D">
            <w:pPr>
              <w:rPr>
                <w:sz w:val="20"/>
              </w:rPr>
            </w:pPr>
            <w:r w:rsidRPr="006C5AE0">
              <w:rPr>
                <w:rFonts w:eastAsia="Calibri"/>
                <w:b/>
                <w:bCs/>
                <w:sz w:val="20"/>
              </w:rPr>
              <w:t>Extensively</w:t>
            </w:r>
            <w:r>
              <w:rPr>
                <w:rFonts w:eastAsia="Calibri"/>
                <w:sz w:val="20"/>
              </w:rPr>
              <w:t xml:space="preserve"> p</w:t>
            </w:r>
            <w:r w:rsidRPr="003511A2">
              <w:rPr>
                <w:sz w:val="20"/>
              </w:rPr>
              <w:t>lan</w:t>
            </w:r>
            <w:r>
              <w:rPr>
                <w:sz w:val="20"/>
              </w:rPr>
              <w:t>s</w:t>
            </w:r>
            <w:r w:rsidRPr="003511A2">
              <w:rPr>
                <w:sz w:val="20"/>
              </w:rPr>
              <w:t>, select</w:t>
            </w:r>
            <w:r>
              <w:rPr>
                <w:sz w:val="20"/>
              </w:rPr>
              <w:t>s</w:t>
            </w:r>
            <w:r w:rsidRPr="003511A2">
              <w:rPr>
                <w:sz w:val="20"/>
              </w:rPr>
              <w:t>, implement</w:t>
            </w:r>
            <w:r>
              <w:rPr>
                <w:sz w:val="20"/>
              </w:rPr>
              <w:t>s</w:t>
            </w:r>
            <w:r w:rsidRPr="003511A2">
              <w:rPr>
                <w:sz w:val="20"/>
              </w:rPr>
              <w:t>, interpret</w:t>
            </w:r>
            <w:r>
              <w:rPr>
                <w:sz w:val="20"/>
              </w:rPr>
              <w:t>s</w:t>
            </w:r>
            <w:r w:rsidRPr="003511A2">
              <w:rPr>
                <w:sz w:val="20"/>
              </w:rPr>
              <w:t>, and use</w:t>
            </w:r>
            <w:r>
              <w:rPr>
                <w:sz w:val="20"/>
              </w:rPr>
              <w:t>s</w:t>
            </w:r>
            <w:r w:rsidRPr="003511A2">
              <w:rPr>
                <w:sz w:val="20"/>
              </w:rPr>
              <w:t xml:space="preserve"> formative and summative assessments to inform instruction by </w:t>
            </w:r>
            <w:r w:rsidRPr="003511A2">
              <w:rPr>
                <w:rFonts w:eastAsia="Calibri"/>
                <w:sz w:val="20"/>
              </w:rPr>
              <w:t>reflecting on mathematical proficiencies essential for all students.</w:t>
            </w:r>
          </w:p>
        </w:tc>
        <w:tc>
          <w:tcPr>
            <w:tcW w:w="2520" w:type="dxa"/>
          </w:tcPr>
          <w:p w:rsidR="004B25F0" w:rsidRPr="0038064A" w:rsidRDefault="004B25F0" w:rsidP="0093200D">
            <w:pPr>
              <w:rPr>
                <w:sz w:val="20"/>
              </w:rPr>
            </w:pPr>
            <w:r w:rsidRPr="003511A2">
              <w:rPr>
                <w:rFonts w:eastAsia="Calibri"/>
                <w:sz w:val="20"/>
              </w:rPr>
              <w:t>P</w:t>
            </w:r>
            <w:r w:rsidRPr="003511A2">
              <w:rPr>
                <w:sz w:val="20"/>
              </w:rPr>
              <w:t>lan</w:t>
            </w:r>
            <w:r>
              <w:rPr>
                <w:sz w:val="20"/>
              </w:rPr>
              <w:t>s</w:t>
            </w:r>
            <w:r w:rsidRPr="003511A2">
              <w:rPr>
                <w:sz w:val="20"/>
              </w:rPr>
              <w:t>, select</w:t>
            </w:r>
            <w:r>
              <w:rPr>
                <w:sz w:val="20"/>
              </w:rPr>
              <w:t>s</w:t>
            </w:r>
            <w:r w:rsidRPr="003511A2">
              <w:rPr>
                <w:sz w:val="20"/>
              </w:rPr>
              <w:t>, implement</w:t>
            </w:r>
            <w:r>
              <w:rPr>
                <w:sz w:val="20"/>
              </w:rPr>
              <w:t>s</w:t>
            </w:r>
            <w:r w:rsidRPr="003511A2">
              <w:rPr>
                <w:sz w:val="20"/>
              </w:rPr>
              <w:t>, interpret</w:t>
            </w:r>
            <w:r>
              <w:rPr>
                <w:sz w:val="20"/>
              </w:rPr>
              <w:t>s</w:t>
            </w:r>
            <w:r w:rsidRPr="003511A2">
              <w:rPr>
                <w:sz w:val="20"/>
              </w:rPr>
              <w:t>, and use</w:t>
            </w:r>
            <w:r>
              <w:rPr>
                <w:sz w:val="20"/>
              </w:rPr>
              <w:t>s</w:t>
            </w:r>
            <w:r w:rsidRPr="003511A2">
              <w:rPr>
                <w:sz w:val="20"/>
              </w:rPr>
              <w:t xml:space="preserve"> formative and summative assessments to inform instruction by </w:t>
            </w:r>
            <w:r w:rsidRPr="003511A2">
              <w:rPr>
                <w:rFonts w:eastAsia="Calibri"/>
                <w:sz w:val="20"/>
              </w:rPr>
              <w:t>reflecting on mathematical proficiencies essential for all students.</w:t>
            </w:r>
          </w:p>
        </w:tc>
        <w:tc>
          <w:tcPr>
            <w:tcW w:w="2502" w:type="dxa"/>
          </w:tcPr>
          <w:p w:rsidR="004B25F0" w:rsidRDefault="004B25F0" w:rsidP="0093200D">
            <w:pPr>
              <w:rPr>
                <w:rFonts w:eastAsia="Calibri"/>
                <w:sz w:val="20"/>
              </w:rPr>
            </w:pPr>
            <w:r>
              <w:rPr>
                <w:rFonts w:eastAsia="Calibri"/>
                <w:sz w:val="20"/>
              </w:rPr>
              <w:t>Does not p</w:t>
            </w:r>
            <w:r w:rsidRPr="003511A2">
              <w:rPr>
                <w:sz w:val="20"/>
              </w:rPr>
              <w:t>lan, select, implement, interpret</w:t>
            </w:r>
            <w:r>
              <w:rPr>
                <w:sz w:val="20"/>
              </w:rPr>
              <w:t>, or</w:t>
            </w:r>
            <w:r w:rsidRPr="003511A2">
              <w:rPr>
                <w:sz w:val="20"/>
              </w:rPr>
              <w:t xml:space="preserve"> use formative and summative assessments to inform instruction by </w:t>
            </w:r>
            <w:r w:rsidRPr="003511A2">
              <w:rPr>
                <w:rFonts w:eastAsia="Calibri"/>
                <w:sz w:val="20"/>
              </w:rPr>
              <w:t>reflecting on mathematical proficiencies essential for all students.</w:t>
            </w:r>
          </w:p>
          <w:p w:rsidR="004B25F0" w:rsidRPr="0038064A" w:rsidRDefault="004B25F0" w:rsidP="0093200D">
            <w:pPr>
              <w:rPr>
                <w:sz w:val="20"/>
              </w:rPr>
            </w:pPr>
          </w:p>
        </w:tc>
      </w:tr>
      <w:tr w:rsidR="004B25F0" w:rsidRPr="0038064A" w:rsidTr="0093200D">
        <w:tc>
          <w:tcPr>
            <w:tcW w:w="1818" w:type="dxa"/>
          </w:tcPr>
          <w:p w:rsidR="004B25F0" w:rsidRDefault="004B25F0" w:rsidP="0093200D">
            <w:pPr>
              <w:rPr>
                <w:b/>
                <w:bCs/>
                <w:sz w:val="20"/>
              </w:rPr>
            </w:pPr>
            <w:r>
              <w:rPr>
                <w:b/>
                <w:bCs/>
                <w:sz w:val="20"/>
              </w:rPr>
              <w:t>7. Progress Monitoring and Making Instructional Decisions</w:t>
            </w:r>
          </w:p>
          <w:p w:rsidR="004B25F0" w:rsidRPr="0038064A" w:rsidRDefault="004B25F0" w:rsidP="0093200D">
            <w:pPr>
              <w:rPr>
                <w:b/>
                <w:bCs/>
                <w:sz w:val="20"/>
              </w:rPr>
            </w:pPr>
            <w:r w:rsidRPr="00FD0249">
              <w:rPr>
                <w:bCs/>
                <w:sz w:val="20"/>
              </w:rPr>
              <w:t>N</w:t>
            </w:r>
            <w:r>
              <w:rPr>
                <w:bCs/>
                <w:sz w:val="20"/>
              </w:rPr>
              <w:t>CTM CAEP</w:t>
            </w:r>
            <w:r w:rsidRPr="00FD0249">
              <w:rPr>
                <w:bCs/>
                <w:sz w:val="20"/>
              </w:rPr>
              <w:t xml:space="preserve"> Standards 2012,</w:t>
            </w:r>
            <w:r>
              <w:rPr>
                <w:b/>
                <w:bCs/>
                <w:sz w:val="20"/>
              </w:rPr>
              <w:t xml:space="preserve"> </w:t>
            </w:r>
            <w:r>
              <w:rPr>
                <w:bCs/>
                <w:sz w:val="20"/>
              </w:rPr>
              <w:t>3g</w:t>
            </w:r>
          </w:p>
        </w:tc>
        <w:tc>
          <w:tcPr>
            <w:tcW w:w="2700" w:type="dxa"/>
          </w:tcPr>
          <w:p w:rsidR="004B25F0" w:rsidRPr="00E830B1" w:rsidRDefault="004B25F0" w:rsidP="0093200D">
            <w:pPr>
              <w:rPr>
                <w:sz w:val="20"/>
              </w:rPr>
            </w:pPr>
            <w:r w:rsidRPr="006C5AE0">
              <w:rPr>
                <w:rFonts w:eastAsia="Calibri"/>
                <w:b/>
                <w:bCs/>
                <w:sz w:val="20"/>
              </w:rPr>
              <w:t>Consistently</w:t>
            </w:r>
            <w:r>
              <w:rPr>
                <w:rFonts w:eastAsia="Calibri"/>
                <w:sz w:val="20"/>
              </w:rPr>
              <w:t xml:space="preserve"> m</w:t>
            </w:r>
            <w:r w:rsidRPr="003511A2">
              <w:rPr>
                <w:rFonts w:eastAsia="Calibri"/>
                <w:sz w:val="20"/>
              </w:rPr>
              <w:t>onitor</w:t>
            </w:r>
            <w:r>
              <w:rPr>
                <w:rFonts w:eastAsia="Calibri"/>
                <w:sz w:val="20"/>
              </w:rPr>
              <w:t>s</w:t>
            </w:r>
            <w:r w:rsidRPr="003511A2">
              <w:rPr>
                <w:rFonts w:eastAsia="Calibri"/>
                <w:sz w:val="20"/>
              </w:rPr>
              <w:t xml:space="preserve"> students’ progress, make</w:t>
            </w:r>
            <w:r>
              <w:rPr>
                <w:rFonts w:eastAsia="Calibri"/>
                <w:sz w:val="20"/>
              </w:rPr>
              <w:t>s</w:t>
            </w:r>
            <w:r w:rsidRPr="003511A2">
              <w:rPr>
                <w:rFonts w:eastAsia="Calibri"/>
                <w:sz w:val="20"/>
              </w:rPr>
              <w:t xml:space="preserve"> instructional decisions, and measure</w:t>
            </w:r>
            <w:r>
              <w:rPr>
                <w:rFonts w:eastAsia="Calibri"/>
                <w:sz w:val="20"/>
              </w:rPr>
              <w:t>s</w:t>
            </w:r>
            <w:r w:rsidRPr="003511A2">
              <w:rPr>
                <w:rFonts w:eastAsia="Calibri"/>
                <w:sz w:val="20"/>
              </w:rPr>
              <w:t xml:space="preserve"> students’ mathematical understanding and ability using formative and summative assessments.</w:t>
            </w:r>
          </w:p>
        </w:tc>
        <w:tc>
          <w:tcPr>
            <w:tcW w:w="2520" w:type="dxa"/>
          </w:tcPr>
          <w:p w:rsidR="004B25F0" w:rsidRPr="00E830B1" w:rsidRDefault="004B25F0" w:rsidP="0093200D">
            <w:pPr>
              <w:rPr>
                <w:sz w:val="20"/>
              </w:rPr>
            </w:pPr>
            <w:r w:rsidRPr="003511A2">
              <w:rPr>
                <w:rFonts w:eastAsia="Calibri"/>
                <w:sz w:val="20"/>
              </w:rPr>
              <w:t>Monitor</w:t>
            </w:r>
            <w:r>
              <w:rPr>
                <w:rFonts w:eastAsia="Calibri"/>
                <w:sz w:val="20"/>
              </w:rPr>
              <w:t>s</w:t>
            </w:r>
            <w:r w:rsidRPr="003511A2">
              <w:rPr>
                <w:rFonts w:eastAsia="Calibri"/>
                <w:sz w:val="20"/>
              </w:rPr>
              <w:t xml:space="preserve"> students’ progress, make</w:t>
            </w:r>
            <w:r>
              <w:rPr>
                <w:rFonts w:eastAsia="Calibri"/>
                <w:sz w:val="20"/>
              </w:rPr>
              <w:t>s</w:t>
            </w:r>
            <w:r w:rsidRPr="003511A2">
              <w:rPr>
                <w:rFonts w:eastAsia="Calibri"/>
                <w:sz w:val="20"/>
              </w:rPr>
              <w:t xml:space="preserve"> instructional decisions, and measure</w:t>
            </w:r>
            <w:r>
              <w:rPr>
                <w:rFonts w:eastAsia="Calibri"/>
                <w:sz w:val="20"/>
              </w:rPr>
              <w:t>s</w:t>
            </w:r>
            <w:r w:rsidRPr="003511A2">
              <w:rPr>
                <w:rFonts w:eastAsia="Calibri"/>
                <w:sz w:val="20"/>
              </w:rPr>
              <w:t xml:space="preserve"> students’ mathematical understanding and ability using formative and summative assessments.</w:t>
            </w:r>
          </w:p>
        </w:tc>
        <w:tc>
          <w:tcPr>
            <w:tcW w:w="2502" w:type="dxa"/>
          </w:tcPr>
          <w:p w:rsidR="004B25F0" w:rsidRPr="0038064A" w:rsidRDefault="004B25F0" w:rsidP="0093200D">
            <w:pPr>
              <w:rPr>
                <w:sz w:val="20"/>
              </w:rPr>
            </w:pPr>
            <w:r>
              <w:rPr>
                <w:rFonts w:eastAsia="Calibri"/>
                <w:sz w:val="20"/>
              </w:rPr>
              <w:t>Does not m</w:t>
            </w:r>
            <w:r w:rsidRPr="003511A2">
              <w:rPr>
                <w:rFonts w:eastAsia="Calibri"/>
                <w:sz w:val="20"/>
              </w:rPr>
              <w:t>onitor students’ progress, make</w:t>
            </w:r>
            <w:r>
              <w:rPr>
                <w:rFonts w:eastAsia="Calibri"/>
                <w:sz w:val="20"/>
              </w:rPr>
              <w:t xml:space="preserve"> instructional decisions, or</w:t>
            </w:r>
            <w:r w:rsidRPr="003511A2">
              <w:rPr>
                <w:rFonts w:eastAsia="Calibri"/>
                <w:sz w:val="20"/>
              </w:rPr>
              <w:t xml:space="preserve"> measure students’ mathematical understanding and ability using formative and summative assessments.</w:t>
            </w:r>
          </w:p>
        </w:tc>
      </w:tr>
      <w:tr w:rsidR="004B25F0" w:rsidRPr="0038064A" w:rsidTr="0093200D">
        <w:tc>
          <w:tcPr>
            <w:tcW w:w="1818" w:type="dxa"/>
          </w:tcPr>
          <w:p w:rsidR="004B25F0" w:rsidRDefault="004B25F0" w:rsidP="0093200D">
            <w:pPr>
              <w:spacing w:before="40" w:after="40"/>
              <w:rPr>
                <w:b/>
                <w:bCs/>
                <w:sz w:val="20"/>
              </w:rPr>
            </w:pPr>
            <w:r>
              <w:rPr>
                <w:b/>
                <w:bCs/>
                <w:sz w:val="20"/>
              </w:rPr>
              <w:t>8. Exhibiting Positive Dispositions</w:t>
            </w:r>
          </w:p>
          <w:p w:rsidR="004B25F0" w:rsidRPr="00330FEB" w:rsidRDefault="004B25F0" w:rsidP="0093200D">
            <w:pPr>
              <w:spacing w:before="40" w:after="40"/>
              <w:rPr>
                <w:b/>
                <w:bCs/>
                <w:sz w:val="20"/>
              </w:rPr>
            </w:pPr>
            <w:r w:rsidRPr="00FD0249">
              <w:rPr>
                <w:bCs/>
                <w:sz w:val="20"/>
              </w:rPr>
              <w:t>N</w:t>
            </w:r>
            <w:r>
              <w:rPr>
                <w:bCs/>
                <w:sz w:val="20"/>
              </w:rPr>
              <w:t>CTM CAEP</w:t>
            </w:r>
            <w:r w:rsidRPr="00FD0249">
              <w:rPr>
                <w:bCs/>
                <w:sz w:val="20"/>
              </w:rPr>
              <w:t xml:space="preserve"> Standards 2012,</w:t>
            </w:r>
            <w:r>
              <w:rPr>
                <w:b/>
                <w:bCs/>
                <w:sz w:val="20"/>
              </w:rPr>
              <w:t xml:space="preserve"> </w:t>
            </w:r>
            <w:r>
              <w:rPr>
                <w:bCs/>
                <w:sz w:val="20"/>
              </w:rPr>
              <w:t>4a</w:t>
            </w:r>
          </w:p>
        </w:tc>
        <w:tc>
          <w:tcPr>
            <w:tcW w:w="2700" w:type="dxa"/>
          </w:tcPr>
          <w:p w:rsidR="004B25F0" w:rsidRPr="00330FEB" w:rsidRDefault="004B25F0" w:rsidP="0093200D">
            <w:pPr>
              <w:spacing w:before="40" w:after="40"/>
              <w:rPr>
                <w:sz w:val="20"/>
              </w:rPr>
            </w:pPr>
            <w:r w:rsidRPr="006C5AE0">
              <w:rPr>
                <w:b/>
                <w:bCs/>
                <w:sz w:val="20"/>
              </w:rPr>
              <w:t>Consistently</w:t>
            </w:r>
            <w:r>
              <w:rPr>
                <w:sz w:val="20"/>
              </w:rPr>
              <w:t xml:space="preserve"> e</w:t>
            </w:r>
            <w:r w:rsidRPr="003511A2">
              <w:rPr>
                <w:sz w:val="20"/>
              </w:rPr>
              <w:t>xhibit</w:t>
            </w:r>
            <w:r>
              <w:rPr>
                <w:sz w:val="20"/>
              </w:rPr>
              <w:t>s</w:t>
            </w:r>
            <w:r w:rsidRPr="003511A2">
              <w:rPr>
                <w:rFonts w:eastAsia="Calibri"/>
                <w:color w:val="000000"/>
                <w:sz w:val="20"/>
              </w:rPr>
              <w:t xml:space="preserve"> knowledge of adolescent learning, development, and behavior</w:t>
            </w:r>
            <w:r w:rsidRPr="003511A2">
              <w:rPr>
                <w:sz w:val="20"/>
              </w:rPr>
              <w:t xml:space="preserve"> and demonstrate</w:t>
            </w:r>
            <w:r>
              <w:rPr>
                <w:sz w:val="20"/>
              </w:rPr>
              <w:t>s</w:t>
            </w:r>
            <w:r w:rsidRPr="003511A2">
              <w:rPr>
                <w:sz w:val="20"/>
              </w:rPr>
              <w:t xml:space="preserve"> a positive disposition toward mathematical processes and learning</w:t>
            </w:r>
            <w:r w:rsidRPr="003511A2">
              <w:rPr>
                <w:rFonts w:eastAsia="Calibri"/>
                <w:color w:val="000000"/>
                <w:sz w:val="20"/>
              </w:rPr>
              <w:t>.</w:t>
            </w:r>
          </w:p>
        </w:tc>
        <w:tc>
          <w:tcPr>
            <w:tcW w:w="2520" w:type="dxa"/>
          </w:tcPr>
          <w:p w:rsidR="004B25F0" w:rsidRPr="00330FEB" w:rsidRDefault="004B25F0" w:rsidP="0093200D">
            <w:pPr>
              <w:spacing w:before="40" w:after="40"/>
              <w:rPr>
                <w:sz w:val="20"/>
              </w:rPr>
            </w:pPr>
            <w:r w:rsidRPr="003511A2">
              <w:rPr>
                <w:sz w:val="20"/>
              </w:rPr>
              <w:t>Exhibit</w:t>
            </w:r>
            <w:r>
              <w:rPr>
                <w:sz w:val="20"/>
              </w:rPr>
              <w:t>s</w:t>
            </w:r>
            <w:r w:rsidRPr="003511A2">
              <w:rPr>
                <w:rFonts w:eastAsia="Calibri"/>
                <w:color w:val="000000"/>
                <w:sz w:val="20"/>
              </w:rPr>
              <w:t xml:space="preserve"> knowledge of adolescent learning, development, and behavior</w:t>
            </w:r>
            <w:r w:rsidRPr="003511A2">
              <w:rPr>
                <w:sz w:val="20"/>
              </w:rPr>
              <w:t xml:space="preserve"> and demonstrate</w:t>
            </w:r>
            <w:r>
              <w:rPr>
                <w:sz w:val="20"/>
              </w:rPr>
              <w:t>s</w:t>
            </w:r>
            <w:r w:rsidRPr="003511A2">
              <w:rPr>
                <w:sz w:val="20"/>
              </w:rPr>
              <w:t xml:space="preserve"> a positive disposition toward mathematical processes and learning</w:t>
            </w:r>
            <w:r w:rsidRPr="003511A2">
              <w:rPr>
                <w:rFonts w:eastAsia="Calibri"/>
                <w:color w:val="000000"/>
                <w:sz w:val="20"/>
              </w:rPr>
              <w:t>.</w:t>
            </w:r>
          </w:p>
        </w:tc>
        <w:tc>
          <w:tcPr>
            <w:tcW w:w="2502" w:type="dxa"/>
          </w:tcPr>
          <w:p w:rsidR="004B25F0" w:rsidRPr="00330FEB" w:rsidRDefault="004B25F0" w:rsidP="0093200D">
            <w:pPr>
              <w:spacing w:before="40" w:after="40"/>
              <w:rPr>
                <w:sz w:val="20"/>
              </w:rPr>
            </w:pPr>
            <w:r>
              <w:rPr>
                <w:sz w:val="20"/>
              </w:rPr>
              <w:t>Does not e</w:t>
            </w:r>
            <w:r w:rsidRPr="003511A2">
              <w:rPr>
                <w:sz w:val="20"/>
              </w:rPr>
              <w:t>xhibit</w:t>
            </w:r>
            <w:r w:rsidRPr="003511A2">
              <w:rPr>
                <w:rFonts w:eastAsia="Calibri"/>
                <w:color w:val="000000"/>
                <w:sz w:val="20"/>
              </w:rPr>
              <w:t xml:space="preserve"> knowledge of adole</w:t>
            </w:r>
            <w:r>
              <w:rPr>
                <w:rFonts w:eastAsia="Calibri"/>
                <w:color w:val="000000"/>
                <w:sz w:val="20"/>
              </w:rPr>
              <w:t>scent learning, development, and</w:t>
            </w:r>
            <w:r w:rsidRPr="003511A2">
              <w:rPr>
                <w:rFonts w:eastAsia="Calibri"/>
                <w:color w:val="000000"/>
                <w:sz w:val="20"/>
              </w:rPr>
              <w:t xml:space="preserve"> behavior</w:t>
            </w:r>
            <w:r>
              <w:rPr>
                <w:sz w:val="20"/>
              </w:rPr>
              <w:t xml:space="preserve"> or</w:t>
            </w:r>
            <w:r w:rsidRPr="003511A2">
              <w:rPr>
                <w:sz w:val="20"/>
              </w:rPr>
              <w:t xml:space="preserve"> demonstrate a positive disposition toward mathematical processes and learning</w:t>
            </w:r>
            <w:r w:rsidRPr="003511A2">
              <w:rPr>
                <w:rFonts w:eastAsia="Calibri"/>
                <w:color w:val="000000"/>
                <w:sz w:val="20"/>
              </w:rPr>
              <w:t>.</w:t>
            </w:r>
            <w:r>
              <w:rPr>
                <w:sz w:val="20"/>
              </w:rPr>
              <w:t xml:space="preserve"> </w:t>
            </w:r>
          </w:p>
        </w:tc>
      </w:tr>
      <w:tr w:rsidR="004B25F0" w:rsidRPr="0038064A" w:rsidTr="0093200D">
        <w:tc>
          <w:tcPr>
            <w:tcW w:w="1818" w:type="dxa"/>
          </w:tcPr>
          <w:p w:rsidR="004B25F0" w:rsidRDefault="004B25F0" w:rsidP="0093200D">
            <w:pPr>
              <w:rPr>
                <w:b/>
                <w:bCs/>
                <w:sz w:val="20"/>
              </w:rPr>
            </w:pPr>
            <w:r>
              <w:rPr>
                <w:b/>
                <w:bCs/>
                <w:sz w:val="20"/>
              </w:rPr>
              <w:t>9. Planning and Creating Lessons for Student Engagement</w:t>
            </w:r>
          </w:p>
          <w:p w:rsidR="004B25F0" w:rsidRDefault="004B25F0" w:rsidP="0093200D">
            <w:pPr>
              <w:rPr>
                <w:bCs/>
                <w:sz w:val="20"/>
              </w:rPr>
            </w:pPr>
          </w:p>
          <w:p w:rsidR="004B25F0" w:rsidRPr="0038064A"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4b</w:t>
            </w:r>
          </w:p>
        </w:tc>
        <w:tc>
          <w:tcPr>
            <w:tcW w:w="2700" w:type="dxa"/>
          </w:tcPr>
          <w:p w:rsidR="004B25F0" w:rsidRPr="0038064A" w:rsidRDefault="004B25F0" w:rsidP="0093200D">
            <w:pPr>
              <w:rPr>
                <w:sz w:val="20"/>
              </w:rPr>
            </w:pPr>
            <w:r w:rsidRPr="006C5AE0">
              <w:rPr>
                <w:rFonts w:eastAsia="Calibri"/>
                <w:b/>
                <w:bCs/>
                <w:color w:val="000000"/>
                <w:sz w:val="20"/>
              </w:rPr>
              <w:t>Consistently</w:t>
            </w:r>
            <w:r>
              <w:rPr>
                <w:rFonts w:eastAsia="Calibri"/>
                <w:color w:val="000000"/>
                <w:sz w:val="20"/>
              </w:rPr>
              <w:t xml:space="preserve"> p</w:t>
            </w:r>
            <w:r w:rsidRPr="003511A2">
              <w:rPr>
                <w:rFonts w:eastAsia="Calibri"/>
                <w:color w:val="000000"/>
                <w:sz w:val="20"/>
              </w:rPr>
              <w:t>lan</w:t>
            </w:r>
            <w:r>
              <w:rPr>
                <w:rFonts w:eastAsia="Calibri"/>
                <w:color w:val="000000"/>
                <w:sz w:val="20"/>
              </w:rPr>
              <w:t>s</w:t>
            </w:r>
            <w:r w:rsidRPr="003511A2">
              <w:rPr>
                <w:rFonts w:eastAsia="Calibri"/>
                <w:color w:val="000000"/>
                <w:sz w:val="20"/>
              </w:rPr>
              <w:t xml:space="preserve"> and create</w:t>
            </w:r>
            <w:r>
              <w:rPr>
                <w:rFonts w:eastAsia="Calibri"/>
                <w:color w:val="000000"/>
                <w:sz w:val="20"/>
              </w:rPr>
              <w:t>s</w:t>
            </w:r>
            <w:r w:rsidRPr="003511A2">
              <w:rPr>
                <w:rFonts w:eastAsia="Calibri"/>
                <w:color w:val="000000"/>
                <w:sz w:val="20"/>
              </w:rPr>
              <w:t xml:space="preserve"> developmentally appropriate, sequential, and challenging learning opportunities grounded in mathematics education research in which students are actively engaged in building new</w:t>
            </w:r>
            <w:r w:rsidRPr="003511A2">
              <w:rPr>
                <w:color w:val="000000" w:themeColor="text1"/>
                <w:sz w:val="20"/>
              </w:rPr>
              <w:t xml:space="preserve"> </w:t>
            </w:r>
            <w:r w:rsidRPr="003511A2">
              <w:rPr>
                <w:rFonts w:eastAsia="Calibri"/>
                <w:color w:val="000000"/>
                <w:sz w:val="20"/>
              </w:rPr>
              <w:t>knowledge from prior knowledge and experiences.</w:t>
            </w:r>
          </w:p>
        </w:tc>
        <w:tc>
          <w:tcPr>
            <w:tcW w:w="2520" w:type="dxa"/>
          </w:tcPr>
          <w:p w:rsidR="004B25F0" w:rsidRPr="0038064A" w:rsidRDefault="004B25F0" w:rsidP="0093200D">
            <w:pPr>
              <w:rPr>
                <w:sz w:val="20"/>
              </w:rPr>
            </w:pPr>
            <w:r w:rsidRPr="003511A2">
              <w:rPr>
                <w:rFonts w:eastAsia="Calibri"/>
                <w:color w:val="000000"/>
                <w:sz w:val="20"/>
              </w:rPr>
              <w:t>Plan</w:t>
            </w:r>
            <w:r>
              <w:rPr>
                <w:rFonts w:eastAsia="Calibri"/>
                <w:color w:val="000000"/>
                <w:sz w:val="20"/>
              </w:rPr>
              <w:t>s</w:t>
            </w:r>
            <w:r w:rsidRPr="003511A2">
              <w:rPr>
                <w:rFonts w:eastAsia="Calibri"/>
                <w:color w:val="000000"/>
                <w:sz w:val="20"/>
              </w:rPr>
              <w:t xml:space="preserve"> and create</w:t>
            </w:r>
            <w:r>
              <w:rPr>
                <w:rFonts w:eastAsia="Calibri"/>
                <w:color w:val="000000"/>
                <w:sz w:val="20"/>
              </w:rPr>
              <w:t>s</w:t>
            </w:r>
            <w:r w:rsidRPr="003511A2">
              <w:rPr>
                <w:rFonts w:eastAsia="Calibri"/>
                <w:color w:val="000000"/>
                <w:sz w:val="20"/>
              </w:rPr>
              <w:t xml:space="preserve"> developmentally appropriate, sequential, and challenging learning opportunities grounded in mathematics education research in which students are actively engaged in building new</w:t>
            </w:r>
            <w:r w:rsidRPr="003511A2">
              <w:rPr>
                <w:color w:val="000000" w:themeColor="text1"/>
                <w:sz w:val="20"/>
              </w:rPr>
              <w:t xml:space="preserve"> </w:t>
            </w:r>
            <w:r w:rsidRPr="003511A2">
              <w:rPr>
                <w:rFonts w:eastAsia="Calibri"/>
                <w:color w:val="000000"/>
                <w:sz w:val="20"/>
              </w:rPr>
              <w:t>knowledge from prior knowledge and experiences.</w:t>
            </w:r>
          </w:p>
        </w:tc>
        <w:tc>
          <w:tcPr>
            <w:tcW w:w="2502" w:type="dxa"/>
          </w:tcPr>
          <w:p w:rsidR="004B25F0" w:rsidRPr="0038064A" w:rsidRDefault="004B25F0" w:rsidP="0093200D">
            <w:pPr>
              <w:rPr>
                <w:sz w:val="20"/>
              </w:rPr>
            </w:pPr>
            <w:r>
              <w:rPr>
                <w:rFonts w:eastAsia="Calibri"/>
                <w:color w:val="000000"/>
                <w:sz w:val="20"/>
              </w:rPr>
              <w:t>Does not p</w:t>
            </w:r>
            <w:r w:rsidRPr="003511A2">
              <w:rPr>
                <w:rFonts w:eastAsia="Calibri"/>
                <w:color w:val="000000"/>
                <w:sz w:val="20"/>
              </w:rPr>
              <w:t>lan</w:t>
            </w:r>
            <w:r>
              <w:rPr>
                <w:rFonts w:eastAsia="Calibri"/>
                <w:color w:val="000000"/>
                <w:sz w:val="20"/>
              </w:rPr>
              <w:t xml:space="preserve"> or</w:t>
            </w:r>
            <w:r w:rsidRPr="003511A2">
              <w:rPr>
                <w:rFonts w:eastAsia="Calibri"/>
                <w:color w:val="000000"/>
                <w:sz w:val="20"/>
              </w:rPr>
              <w:t xml:space="preserve"> create developmentally appropriate, sequential, and challenging learning opportunities grounded in mathematics education research in which students are actively engaged in building new</w:t>
            </w:r>
            <w:r w:rsidRPr="003511A2">
              <w:rPr>
                <w:color w:val="000000" w:themeColor="text1"/>
                <w:sz w:val="20"/>
              </w:rPr>
              <w:t xml:space="preserve"> </w:t>
            </w:r>
            <w:r w:rsidRPr="003511A2">
              <w:rPr>
                <w:rFonts w:eastAsia="Calibri"/>
                <w:color w:val="000000"/>
                <w:sz w:val="20"/>
              </w:rPr>
              <w:t>knowledge from prior knowledge and experiences.</w:t>
            </w:r>
          </w:p>
        </w:tc>
      </w:tr>
      <w:tr w:rsidR="004B25F0" w:rsidRPr="0038064A" w:rsidTr="0093200D">
        <w:tc>
          <w:tcPr>
            <w:tcW w:w="1818" w:type="dxa"/>
          </w:tcPr>
          <w:p w:rsidR="004B25F0" w:rsidRDefault="004B25F0" w:rsidP="0093200D">
            <w:pPr>
              <w:rPr>
                <w:b/>
                <w:bCs/>
                <w:sz w:val="20"/>
              </w:rPr>
            </w:pPr>
            <w:r>
              <w:rPr>
                <w:b/>
                <w:bCs/>
                <w:sz w:val="20"/>
              </w:rPr>
              <w:t>10. Addressing Diversities and Motivating and Engaging Students</w:t>
            </w:r>
          </w:p>
          <w:p w:rsidR="004B25F0" w:rsidRDefault="004B25F0" w:rsidP="0093200D">
            <w:pPr>
              <w:rPr>
                <w:bCs/>
                <w:sz w:val="20"/>
              </w:rPr>
            </w:pPr>
          </w:p>
          <w:p w:rsidR="004B25F0" w:rsidRPr="0038064A"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4c</w:t>
            </w:r>
          </w:p>
        </w:tc>
        <w:tc>
          <w:tcPr>
            <w:tcW w:w="2700" w:type="dxa"/>
          </w:tcPr>
          <w:p w:rsidR="004B25F0" w:rsidRPr="003511A2" w:rsidRDefault="004B25F0" w:rsidP="0093200D">
            <w:pPr>
              <w:rPr>
                <w:sz w:val="20"/>
              </w:rPr>
            </w:pPr>
            <w:r w:rsidRPr="003E0B3B">
              <w:rPr>
                <w:b/>
                <w:bCs/>
                <w:sz w:val="20"/>
              </w:rPr>
              <w:t>Consistently</w:t>
            </w:r>
            <w:r>
              <w:rPr>
                <w:sz w:val="20"/>
              </w:rPr>
              <w:t xml:space="preserve"> i</w:t>
            </w:r>
            <w:r w:rsidRPr="003511A2">
              <w:rPr>
                <w:sz w:val="20"/>
              </w:rPr>
              <w:t>ncorporate</w:t>
            </w:r>
            <w:r>
              <w:rPr>
                <w:sz w:val="20"/>
              </w:rPr>
              <w:t>s</w:t>
            </w:r>
            <w:r w:rsidRPr="003511A2">
              <w:rPr>
                <w:sz w:val="20"/>
              </w:rPr>
              <w:t xml:space="preserve"> knowledge of individual differences and the cultural and language diversity that exists within classrooms and include</w:t>
            </w:r>
            <w:r>
              <w:rPr>
                <w:sz w:val="20"/>
              </w:rPr>
              <w:t>s</w:t>
            </w:r>
            <w:r w:rsidRPr="003511A2">
              <w:rPr>
                <w:sz w:val="20"/>
              </w:rPr>
              <w:t xml:space="preserve"> culturally relevant perspectives as a means to motivate and engage students.</w:t>
            </w:r>
          </w:p>
          <w:p w:rsidR="004B25F0" w:rsidRPr="0038064A" w:rsidRDefault="004B25F0" w:rsidP="0093200D">
            <w:pPr>
              <w:rPr>
                <w:sz w:val="20"/>
              </w:rPr>
            </w:pPr>
          </w:p>
        </w:tc>
        <w:tc>
          <w:tcPr>
            <w:tcW w:w="2520" w:type="dxa"/>
          </w:tcPr>
          <w:p w:rsidR="004B25F0" w:rsidRPr="0038064A" w:rsidRDefault="004B25F0" w:rsidP="0093200D">
            <w:pPr>
              <w:rPr>
                <w:sz w:val="20"/>
              </w:rPr>
            </w:pPr>
            <w:r w:rsidRPr="003511A2">
              <w:rPr>
                <w:sz w:val="20"/>
              </w:rPr>
              <w:t>Incorporate</w:t>
            </w:r>
            <w:r>
              <w:rPr>
                <w:sz w:val="20"/>
              </w:rPr>
              <w:t>s</w:t>
            </w:r>
            <w:r w:rsidRPr="003511A2">
              <w:rPr>
                <w:sz w:val="20"/>
              </w:rPr>
              <w:t xml:space="preserve"> knowledge of individual differences and the cultural and language diversity that exists within classrooms and include</w:t>
            </w:r>
            <w:r>
              <w:rPr>
                <w:sz w:val="20"/>
              </w:rPr>
              <w:t>s</w:t>
            </w:r>
            <w:r w:rsidRPr="003511A2">
              <w:rPr>
                <w:sz w:val="20"/>
              </w:rPr>
              <w:t xml:space="preserve"> culturally relevant perspectives as a means to motivate and engage students.</w:t>
            </w:r>
          </w:p>
        </w:tc>
        <w:tc>
          <w:tcPr>
            <w:tcW w:w="2502" w:type="dxa"/>
          </w:tcPr>
          <w:p w:rsidR="004B25F0" w:rsidRPr="0038064A" w:rsidRDefault="004B25F0" w:rsidP="0093200D">
            <w:pPr>
              <w:rPr>
                <w:sz w:val="20"/>
              </w:rPr>
            </w:pPr>
            <w:r>
              <w:rPr>
                <w:sz w:val="20"/>
              </w:rPr>
              <w:t>Does not i</w:t>
            </w:r>
            <w:r w:rsidRPr="003511A2">
              <w:rPr>
                <w:sz w:val="20"/>
              </w:rPr>
              <w:t>ncorporate knowledge of individual difference</w:t>
            </w:r>
            <w:r>
              <w:rPr>
                <w:sz w:val="20"/>
              </w:rPr>
              <w:t>s or</w:t>
            </w:r>
            <w:r w:rsidRPr="003511A2">
              <w:rPr>
                <w:sz w:val="20"/>
              </w:rPr>
              <w:t xml:space="preserve"> the cultural and language diversity t</w:t>
            </w:r>
            <w:r>
              <w:rPr>
                <w:sz w:val="20"/>
              </w:rPr>
              <w:t>hat exists within classrooms or</w:t>
            </w:r>
            <w:r w:rsidRPr="003511A2">
              <w:rPr>
                <w:sz w:val="20"/>
              </w:rPr>
              <w:t xml:space="preserve"> include culturally relevant perspectives as a means to motivate and engage students.</w:t>
            </w:r>
          </w:p>
        </w:tc>
      </w:tr>
      <w:tr w:rsidR="004B25F0" w:rsidRPr="0038064A" w:rsidTr="0093200D">
        <w:tc>
          <w:tcPr>
            <w:tcW w:w="1818" w:type="dxa"/>
          </w:tcPr>
          <w:p w:rsidR="004B25F0" w:rsidRDefault="004B25F0" w:rsidP="0093200D">
            <w:pPr>
              <w:rPr>
                <w:b/>
                <w:bCs/>
                <w:sz w:val="20"/>
              </w:rPr>
            </w:pPr>
            <w:r>
              <w:rPr>
                <w:b/>
                <w:bCs/>
                <w:sz w:val="20"/>
              </w:rPr>
              <w:t>11. Ethical Treatment of All Students</w:t>
            </w:r>
          </w:p>
          <w:p w:rsidR="004B25F0"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4d</w:t>
            </w:r>
          </w:p>
        </w:tc>
        <w:tc>
          <w:tcPr>
            <w:tcW w:w="2700" w:type="dxa"/>
          </w:tcPr>
          <w:p w:rsidR="004B25F0" w:rsidRPr="00330FEB" w:rsidRDefault="004B25F0" w:rsidP="0093200D">
            <w:pPr>
              <w:spacing w:before="40" w:after="40"/>
              <w:rPr>
                <w:sz w:val="20"/>
              </w:rPr>
            </w:pPr>
            <w:r w:rsidRPr="00AC5129">
              <w:rPr>
                <w:rFonts w:eastAsia="Calibri"/>
                <w:b/>
                <w:bCs/>
                <w:sz w:val="20"/>
              </w:rPr>
              <w:t>Consistently</w:t>
            </w:r>
            <w:r>
              <w:rPr>
                <w:rFonts w:eastAsia="Calibri"/>
                <w:sz w:val="20"/>
              </w:rPr>
              <w:t xml:space="preserve"> d</w:t>
            </w:r>
            <w:r w:rsidRPr="003511A2">
              <w:rPr>
                <w:rFonts w:eastAsia="Calibri"/>
                <w:sz w:val="20"/>
              </w:rPr>
              <w:t>emonstrate</w:t>
            </w:r>
            <w:r>
              <w:rPr>
                <w:rFonts w:eastAsia="Calibri"/>
                <w:sz w:val="20"/>
              </w:rPr>
              <w:t>s</w:t>
            </w:r>
            <w:r w:rsidRPr="003511A2">
              <w:rPr>
                <w:rFonts w:eastAsia="Calibri"/>
                <w:sz w:val="20"/>
              </w:rPr>
              <w:t xml:space="preserve"> equitable and ethical treatment of and high expectations for all students.</w:t>
            </w:r>
          </w:p>
        </w:tc>
        <w:tc>
          <w:tcPr>
            <w:tcW w:w="2520" w:type="dxa"/>
          </w:tcPr>
          <w:p w:rsidR="004B25F0" w:rsidRPr="00330FEB" w:rsidRDefault="004B25F0" w:rsidP="0093200D">
            <w:pPr>
              <w:spacing w:before="40" w:after="40"/>
              <w:rPr>
                <w:sz w:val="20"/>
              </w:rPr>
            </w:pPr>
            <w:r w:rsidRPr="003511A2">
              <w:rPr>
                <w:rFonts w:eastAsia="Calibri"/>
                <w:sz w:val="20"/>
              </w:rPr>
              <w:t>Demonstrate</w:t>
            </w:r>
            <w:r>
              <w:rPr>
                <w:rFonts w:eastAsia="Calibri"/>
                <w:sz w:val="20"/>
              </w:rPr>
              <w:t>s</w:t>
            </w:r>
            <w:r w:rsidRPr="003511A2">
              <w:rPr>
                <w:rFonts w:eastAsia="Calibri"/>
                <w:sz w:val="20"/>
              </w:rPr>
              <w:t xml:space="preserve"> equitable and ethical treatment of and high expectations for all students.</w:t>
            </w:r>
          </w:p>
        </w:tc>
        <w:tc>
          <w:tcPr>
            <w:tcW w:w="2502" w:type="dxa"/>
          </w:tcPr>
          <w:p w:rsidR="004B25F0" w:rsidRPr="00330FEB" w:rsidRDefault="004B25F0" w:rsidP="0093200D">
            <w:pPr>
              <w:spacing w:before="40" w:after="40"/>
              <w:rPr>
                <w:sz w:val="20"/>
              </w:rPr>
            </w:pPr>
            <w:r>
              <w:rPr>
                <w:rFonts w:eastAsia="Calibri"/>
                <w:sz w:val="20"/>
              </w:rPr>
              <w:t>Does not d</w:t>
            </w:r>
            <w:r w:rsidRPr="003511A2">
              <w:rPr>
                <w:rFonts w:eastAsia="Calibri"/>
                <w:sz w:val="20"/>
              </w:rPr>
              <w:t>emonstrate</w:t>
            </w:r>
            <w:r>
              <w:rPr>
                <w:rFonts w:eastAsia="Calibri"/>
                <w:sz w:val="20"/>
              </w:rPr>
              <w:t xml:space="preserve"> equitable or ethical treatment of or</w:t>
            </w:r>
            <w:r w:rsidRPr="003511A2">
              <w:rPr>
                <w:rFonts w:eastAsia="Calibri"/>
                <w:sz w:val="20"/>
              </w:rPr>
              <w:t xml:space="preserve"> high expectations for all students.</w:t>
            </w:r>
          </w:p>
        </w:tc>
      </w:tr>
      <w:tr w:rsidR="004B25F0" w:rsidRPr="0038064A" w:rsidTr="0093200D">
        <w:tc>
          <w:tcPr>
            <w:tcW w:w="1818" w:type="dxa"/>
          </w:tcPr>
          <w:p w:rsidR="004B25F0" w:rsidRDefault="004B25F0" w:rsidP="0093200D">
            <w:pPr>
              <w:rPr>
                <w:b/>
                <w:bCs/>
                <w:sz w:val="20"/>
              </w:rPr>
            </w:pPr>
            <w:r>
              <w:rPr>
                <w:b/>
                <w:bCs/>
                <w:sz w:val="20"/>
              </w:rPr>
              <w:t xml:space="preserve">12. Use of Instructional Tools </w:t>
            </w:r>
          </w:p>
          <w:p w:rsidR="004B25F0" w:rsidRDefault="004B25F0" w:rsidP="0093200D">
            <w:pPr>
              <w:rPr>
                <w:bCs/>
                <w:sz w:val="20"/>
              </w:rPr>
            </w:pPr>
          </w:p>
          <w:p w:rsidR="004B25F0"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4e</w:t>
            </w:r>
          </w:p>
        </w:tc>
        <w:tc>
          <w:tcPr>
            <w:tcW w:w="2700" w:type="dxa"/>
          </w:tcPr>
          <w:p w:rsidR="004B25F0" w:rsidRPr="0038064A" w:rsidRDefault="004B25F0" w:rsidP="0093200D">
            <w:pPr>
              <w:rPr>
                <w:sz w:val="20"/>
              </w:rPr>
            </w:pPr>
            <w:r w:rsidRPr="00AC5129">
              <w:rPr>
                <w:rFonts w:eastAsia="Calibri"/>
                <w:b/>
                <w:bCs/>
                <w:sz w:val="20"/>
              </w:rPr>
              <w:t>Frequently</w:t>
            </w:r>
            <w:r>
              <w:rPr>
                <w:rFonts w:eastAsia="Calibri"/>
                <w:sz w:val="20"/>
              </w:rPr>
              <w:t xml:space="preserve"> applies</w:t>
            </w:r>
            <w:r w:rsidRPr="003511A2">
              <w:rPr>
                <w:rFonts w:eastAsia="Calibri"/>
                <w:sz w:val="20"/>
              </w:rPr>
              <w:t xml:space="preserve"> mathematical content and pedagogical knowledge to select and use instructional tools such as manipulatives and physical models, drawings, </w:t>
            </w:r>
            <w:r w:rsidRPr="003511A2">
              <w:rPr>
                <w:color w:val="000000" w:themeColor="text1"/>
                <w:sz w:val="20"/>
              </w:rPr>
              <w:t>virtual</w:t>
            </w:r>
            <w:r w:rsidRPr="003511A2">
              <w:rPr>
                <w:rFonts w:eastAsia="Calibri"/>
                <w:sz w:val="20"/>
              </w:rPr>
              <w:t xml:space="preserve"> environments, spreadsheets, presentation tools, and mathematics-specific technologies </w:t>
            </w:r>
            <w:r w:rsidRPr="003511A2">
              <w:rPr>
                <w:color w:val="000000" w:themeColor="text1"/>
                <w:sz w:val="20"/>
              </w:rPr>
              <w:t xml:space="preserve">(e.g., </w:t>
            </w:r>
            <w:r w:rsidRPr="003511A2">
              <w:rPr>
                <w:rFonts w:eastAsia="Calibri"/>
                <w:sz w:val="20"/>
              </w:rPr>
              <w:t>graphing tools, interactive geometry software, computer algebra systems, and statistical packages</w:t>
            </w:r>
            <w:r w:rsidRPr="003511A2">
              <w:rPr>
                <w:color w:val="000000" w:themeColor="text1"/>
                <w:sz w:val="20"/>
              </w:rPr>
              <w:t>)</w:t>
            </w:r>
            <w:r w:rsidRPr="003511A2">
              <w:rPr>
                <w:rFonts w:eastAsia="Calibri"/>
                <w:sz w:val="20"/>
              </w:rPr>
              <w:t>; and make</w:t>
            </w:r>
            <w:r>
              <w:rPr>
                <w:rFonts w:eastAsia="Calibri"/>
                <w:sz w:val="20"/>
              </w:rPr>
              <w:t>s</w:t>
            </w:r>
            <w:r w:rsidRPr="003511A2">
              <w:rPr>
                <w:rFonts w:eastAsia="Calibri"/>
                <w:sz w:val="20"/>
              </w:rPr>
              <w:t xml:space="preserve"> sound decisions about when </w:t>
            </w:r>
            <w:r w:rsidRPr="003511A2">
              <w:rPr>
                <w:color w:val="000000" w:themeColor="text1"/>
                <w:sz w:val="20"/>
              </w:rPr>
              <w:t xml:space="preserve">such </w:t>
            </w:r>
            <w:r w:rsidRPr="003511A2">
              <w:rPr>
                <w:rFonts w:eastAsia="Calibri"/>
                <w:sz w:val="20"/>
              </w:rPr>
              <w:t>tool</w:t>
            </w:r>
            <w:r w:rsidRPr="003511A2">
              <w:rPr>
                <w:color w:val="000000" w:themeColor="text1"/>
                <w:sz w:val="20"/>
              </w:rPr>
              <w:t xml:space="preserve">s </w:t>
            </w:r>
            <w:r w:rsidRPr="003511A2">
              <w:rPr>
                <w:rFonts w:eastAsia="Calibri"/>
                <w:sz w:val="20"/>
              </w:rPr>
              <w:t>enhance teaching and learning, recognizing both the insights to be gained and possible limitations of such tools</w:t>
            </w:r>
            <w:r w:rsidRPr="003511A2">
              <w:rPr>
                <w:color w:val="000000" w:themeColor="text1"/>
                <w:sz w:val="20"/>
              </w:rPr>
              <w:t>.</w:t>
            </w:r>
          </w:p>
        </w:tc>
        <w:tc>
          <w:tcPr>
            <w:tcW w:w="2520" w:type="dxa"/>
          </w:tcPr>
          <w:p w:rsidR="004B25F0" w:rsidRPr="0038064A" w:rsidRDefault="004B25F0" w:rsidP="0093200D">
            <w:pPr>
              <w:rPr>
                <w:sz w:val="20"/>
              </w:rPr>
            </w:pPr>
            <w:r>
              <w:rPr>
                <w:rFonts w:eastAsia="Calibri"/>
                <w:sz w:val="20"/>
              </w:rPr>
              <w:t>Applies</w:t>
            </w:r>
            <w:r w:rsidRPr="003511A2">
              <w:rPr>
                <w:rFonts w:eastAsia="Calibri"/>
                <w:sz w:val="20"/>
              </w:rPr>
              <w:t xml:space="preserve"> mathematical content and pedagogical knowledge to select and use instructional tools such as manipulatives and physical models, drawings, </w:t>
            </w:r>
            <w:r w:rsidRPr="003511A2">
              <w:rPr>
                <w:color w:val="000000" w:themeColor="text1"/>
                <w:sz w:val="20"/>
              </w:rPr>
              <w:t>virtual</w:t>
            </w:r>
            <w:r w:rsidRPr="003511A2">
              <w:rPr>
                <w:rFonts w:eastAsia="Calibri"/>
                <w:sz w:val="20"/>
              </w:rPr>
              <w:t xml:space="preserve"> environments, spreadsheets, presentation tools, and mathematics-specific technologies </w:t>
            </w:r>
            <w:r w:rsidRPr="003511A2">
              <w:rPr>
                <w:color w:val="000000" w:themeColor="text1"/>
                <w:sz w:val="20"/>
              </w:rPr>
              <w:t xml:space="preserve">(e.g., </w:t>
            </w:r>
            <w:r w:rsidRPr="003511A2">
              <w:rPr>
                <w:rFonts w:eastAsia="Calibri"/>
                <w:sz w:val="20"/>
              </w:rPr>
              <w:t>graphing tools, interactive geometry software, computer algebra systems, and statistical packages</w:t>
            </w:r>
            <w:r w:rsidRPr="003511A2">
              <w:rPr>
                <w:color w:val="000000" w:themeColor="text1"/>
                <w:sz w:val="20"/>
              </w:rPr>
              <w:t>)</w:t>
            </w:r>
            <w:r w:rsidRPr="003511A2">
              <w:rPr>
                <w:rFonts w:eastAsia="Calibri"/>
                <w:sz w:val="20"/>
              </w:rPr>
              <w:t>; and make</w:t>
            </w:r>
            <w:r>
              <w:rPr>
                <w:rFonts w:eastAsia="Calibri"/>
                <w:sz w:val="20"/>
              </w:rPr>
              <w:t>s</w:t>
            </w:r>
            <w:r w:rsidRPr="003511A2">
              <w:rPr>
                <w:rFonts w:eastAsia="Calibri"/>
                <w:sz w:val="20"/>
              </w:rPr>
              <w:t xml:space="preserve"> sound decisions about when </w:t>
            </w:r>
            <w:r w:rsidRPr="003511A2">
              <w:rPr>
                <w:color w:val="000000" w:themeColor="text1"/>
                <w:sz w:val="20"/>
              </w:rPr>
              <w:t xml:space="preserve">such </w:t>
            </w:r>
            <w:r w:rsidRPr="003511A2">
              <w:rPr>
                <w:rFonts w:eastAsia="Calibri"/>
                <w:sz w:val="20"/>
              </w:rPr>
              <w:t>tool</w:t>
            </w:r>
            <w:r w:rsidRPr="003511A2">
              <w:rPr>
                <w:color w:val="000000" w:themeColor="text1"/>
                <w:sz w:val="20"/>
              </w:rPr>
              <w:t xml:space="preserve">s </w:t>
            </w:r>
            <w:r w:rsidRPr="003511A2">
              <w:rPr>
                <w:rFonts w:eastAsia="Calibri"/>
                <w:sz w:val="20"/>
              </w:rPr>
              <w:t>enhance teaching and learning, recognizing both the insights to be gained and possible limitations of such tools</w:t>
            </w:r>
            <w:r w:rsidRPr="003511A2">
              <w:rPr>
                <w:color w:val="000000" w:themeColor="text1"/>
                <w:sz w:val="20"/>
              </w:rPr>
              <w:t>.</w:t>
            </w:r>
          </w:p>
        </w:tc>
        <w:tc>
          <w:tcPr>
            <w:tcW w:w="2502" w:type="dxa"/>
          </w:tcPr>
          <w:p w:rsidR="004B25F0" w:rsidRPr="0038064A" w:rsidRDefault="004B25F0" w:rsidP="0093200D">
            <w:pPr>
              <w:rPr>
                <w:sz w:val="20"/>
              </w:rPr>
            </w:pPr>
            <w:r>
              <w:rPr>
                <w:rFonts w:eastAsia="Calibri"/>
                <w:sz w:val="20"/>
              </w:rPr>
              <w:t>Does not apply</w:t>
            </w:r>
            <w:r w:rsidRPr="003511A2">
              <w:rPr>
                <w:rFonts w:eastAsia="Calibri"/>
                <w:sz w:val="20"/>
              </w:rPr>
              <w:t xml:space="preserve"> mathematical content and pedagogical knowledge to select and use instructional tools such as manipulatives and physical models, drawings, </w:t>
            </w:r>
            <w:r w:rsidRPr="003511A2">
              <w:rPr>
                <w:color w:val="000000" w:themeColor="text1"/>
                <w:sz w:val="20"/>
              </w:rPr>
              <w:t>virtual</w:t>
            </w:r>
            <w:r w:rsidRPr="003511A2">
              <w:rPr>
                <w:rFonts w:eastAsia="Calibri"/>
                <w:sz w:val="20"/>
              </w:rPr>
              <w:t xml:space="preserve"> environments, sprea</w:t>
            </w:r>
            <w:r>
              <w:rPr>
                <w:rFonts w:eastAsia="Calibri"/>
                <w:sz w:val="20"/>
              </w:rPr>
              <w:t>dsheets, presentation tools, and</w:t>
            </w:r>
            <w:r w:rsidRPr="003511A2">
              <w:rPr>
                <w:rFonts w:eastAsia="Calibri"/>
                <w:sz w:val="20"/>
              </w:rPr>
              <w:t xml:space="preserve"> mathematics-specific technologies </w:t>
            </w:r>
            <w:r w:rsidRPr="003511A2">
              <w:rPr>
                <w:color w:val="000000" w:themeColor="text1"/>
                <w:sz w:val="20"/>
              </w:rPr>
              <w:t xml:space="preserve">(e.g., </w:t>
            </w:r>
            <w:r w:rsidRPr="003511A2">
              <w:rPr>
                <w:rFonts w:eastAsia="Calibri"/>
                <w:sz w:val="20"/>
              </w:rPr>
              <w:t>graphing tools, interactive geometry software, computer algebra systems, and statistical packages</w:t>
            </w:r>
            <w:r w:rsidRPr="003511A2">
              <w:rPr>
                <w:color w:val="000000" w:themeColor="text1"/>
                <w:sz w:val="20"/>
              </w:rPr>
              <w:t>)</w:t>
            </w:r>
            <w:r>
              <w:rPr>
                <w:rFonts w:eastAsia="Calibri"/>
                <w:sz w:val="20"/>
              </w:rPr>
              <w:t>; or</w:t>
            </w:r>
            <w:r w:rsidRPr="003511A2">
              <w:rPr>
                <w:rFonts w:eastAsia="Calibri"/>
                <w:sz w:val="20"/>
              </w:rPr>
              <w:t xml:space="preserve"> make</w:t>
            </w:r>
            <w:r>
              <w:rPr>
                <w:rFonts w:eastAsia="Calibri"/>
                <w:sz w:val="20"/>
              </w:rPr>
              <w:t>s</w:t>
            </w:r>
            <w:r w:rsidRPr="003511A2">
              <w:rPr>
                <w:rFonts w:eastAsia="Calibri"/>
                <w:sz w:val="20"/>
              </w:rPr>
              <w:t xml:space="preserve"> sound decisions about when </w:t>
            </w:r>
            <w:r w:rsidRPr="003511A2">
              <w:rPr>
                <w:color w:val="000000" w:themeColor="text1"/>
                <w:sz w:val="20"/>
              </w:rPr>
              <w:t xml:space="preserve">such </w:t>
            </w:r>
            <w:r w:rsidRPr="003511A2">
              <w:rPr>
                <w:rFonts w:eastAsia="Calibri"/>
                <w:sz w:val="20"/>
              </w:rPr>
              <w:t>tool</w:t>
            </w:r>
            <w:r w:rsidRPr="003511A2">
              <w:rPr>
                <w:color w:val="000000" w:themeColor="text1"/>
                <w:sz w:val="20"/>
              </w:rPr>
              <w:t xml:space="preserve">s </w:t>
            </w:r>
            <w:r w:rsidRPr="003511A2">
              <w:rPr>
                <w:rFonts w:eastAsia="Calibri"/>
                <w:sz w:val="20"/>
              </w:rPr>
              <w:t>enhance teaching and learning, recognizing both the insights to be gained and possible limitations of such tools</w:t>
            </w:r>
            <w:r w:rsidRPr="003511A2">
              <w:rPr>
                <w:color w:val="000000" w:themeColor="text1"/>
                <w:sz w:val="20"/>
              </w:rPr>
              <w:t>.</w:t>
            </w:r>
          </w:p>
        </w:tc>
      </w:tr>
      <w:tr w:rsidR="004B25F0" w:rsidRPr="0038064A" w:rsidTr="0093200D">
        <w:tc>
          <w:tcPr>
            <w:tcW w:w="1818" w:type="dxa"/>
          </w:tcPr>
          <w:p w:rsidR="004B25F0" w:rsidRDefault="004B25F0" w:rsidP="0093200D">
            <w:pPr>
              <w:rPr>
                <w:b/>
                <w:bCs/>
                <w:sz w:val="20"/>
              </w:rPr>
            </w:pPr>
            <w:r>
              <w:rPr>
                <w:b/>
                <w:bCs/>
                <w:sz w:val="20"/>
              </w:rPr>
              <w:t xml:space="preserve">13. Verification of Student Learning </w:t>
            </w:r>
          </w:p>
          <w:p w:rsidR="004B25F0" w:rsidRDefault="004B25F0" w:rsidP="0093200D">
            <w:pPr>
              <w:rPr>
                <w:bCs/>
                <w:sz w:val="20"/>
              </w:rPr>
            </w:pPr>
          </w:p>
          <w:p w:rsidR="004B25F0"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5a</w:t>
            </w:r>
          </w:p>
        </w:tc>
        <w:tc>
          <w:tcPr>
            <w:tcW w:w="2700" w:type="dxa"/>
          </w:tcPr>
          <w:p w:rsidR="004B25F0" w:rsidRPr="003511A2" w:rsidRDefault="004B25F0" w:rsidP="0093200D">
            <w:pPr>
              <w:rPr>
                <w:color w:val="000000" w:themeColor="text1"/>
                <w:sz w:val="20"/>
              </w:rPr>
            </w:pPr>
            <w:r>
              <w:rPr>
                <w:sz w:val="20"/>
              </w:rPr>
              <w:t xml:space="preserve">Verifies </w:t>
            </w:r>
            <w:r w:rsidRPr="00AC5129">
              <w:rPr>
                <w:b/>
                <w:bCs/>
                <w:sz w:val="20"/>
              </w:rPr>
              <w:t>through multiple evidence</w:t>
            </w:r>
            <w:r w:rsidRPr="003511A2">
              <w:rPr>
                <w:sz w:val="20"/>
              </w:rPr>
              <w:t xml:space="preserve"> that secondary students demonstrate conceptual understanding; procedural fluency; the ability to formulate, represent, and solve problems; logical reasoning and continuous reflection on that reasoning; productive disposition toward mathematics; and the application of mathematics in a variety of contexts within major mathematical domains</w:t>
            </w:r>
            <w:r w:rsidRPr="003511A2">
              <w:rPr>
                <w:color w:val="000000" w:themeColor="text1"/>
                <w:sz w:val="20"/>
              </w:rPr>
              <w:t xml:space="preserve">. </w:t>
            </w:r>
          </w:p>
          <w:p w:rsidR="004B25F0" w:rsidRDefault="004B25F0" w:rsidP="0093200D">
            <w:pPr>
              <w:rPr>
                <w:rFonts w:eastAsia="Calibri"/>
                <w:sz w:val="20"/>
              </w:rPr>
            </w:pPr>
          </w:p>
        </w:tc>
        <w:tc>
          <w:tcPr>
            <w:tcW w:w="2520" w:type="dxa"/>
          </w:tcPr>
          <w:p w:rsidR="004B25F0" w:rsidRPr="008526DB" w:rsidRDefault="004B25F0" w:rsidP="0093200D">
            <w:pPr>
              <w:rPr>
                <w:color w:val="000000" w:themeColor="text1"/>
                <w:sz w:val="20"/>
              </w:rPr>
            </w:pPr>
            <w:r>
              <w:rPr>
                <w:sz w:val="20"/>
              </w:rPr>
              <w:t>Verifies</w:t>
            </w:r>
            <w:r w:rsidRPr="003511A2">
              <w:rPr>
                <w:sz w:val="20"/>
              </w:rPr>
              <w:t xml:space="preserve"> that secondary students demonstrate conceptual understanding; procedural fluency; the ability to formulate, represent, and solve problems; logical reasoning and continuous reflection on that reasoning; productive disposition toward mathematics; and the application of mathematics in a variety of contexts within major mathematical domains</w:t>
            </w:r>
            <w:r w:rsidRPr="003511A2">
              <w:rPr>
                <w:color w:val="000000" w:themeColor="text1"/>
                <w:sz w:val="20"/>
              </w:rPr>
              <w:t xml:space="preserve">. </w:t>
            </w:r>
          </w:p>
        </w:tc>
        <w:tc>
          <w:tcPr>
            <w:tcW w:w="2502" w:type="dxa"/>
          </w:tcPr>
          <w:p w:rsidR="004B25F0" w:rsidRPr="008526DB" w:rsidRDefault="004B25F0" w:rsidP="0093200D">
            <w:pPr>
              <w:rPr>
                <w:color w:val="000000" w:themeColor="text1"/>
                <w:sz w:val="20"/>
              </w:rPr>
            </w:pPr>
            <w:r>
              <w:rPr>
                <w:sz w:val="20"/>
              </w:rPr>
              <w:t>Does not verify</w:t>
            </w:r>
            <w:r w:rsidRPr="003511A2">
              <w:rPr>
                <w:sz w:val="20"/>
              </w:rPr>
              <w:t xml:space="preserve"> that secondary students demonstrate conceptual understanding; procedural fluency; the ability to formulate, represent, and solve problems; logical reasoning and continuous reflection on that reasoning; productive dis</w:t>
            </w:r>
            <w:r>
              <w:rPr>
                <w:sz w:val="20"/>
              </w:rPr>
              <w:t>position toward mathematics; or</w:t>
            </w:r>
            <w:r w:rsidRPr="003511A2">
              <w:rPr>
                <w:sz w:val="20"/>
              </w:rPr>
              <w:t xml:space="preserve"> the application of mathematics in a variety of contexts within major mathematical domains</w:t>
            </w:r>
            <w:r w:rsidRPr="003511A2">
              <w:rPr>
                <w:color w:val="000000" w:themeColor="text1"/>
                <w:sz w:val="20"/>
              </w:rPr>
              <w:t xml:space="preserve">. </w:t>
            </w:r>
          </w:p>
        </w:tc>
      </w:tr>
      <w:tr w:rsidR="004B25F0" w:rsidRPr="0038064A" w:rsidTr="0093200D">
        <w:tc>
          <w:tcPr>
            <w:tcW w:w="1818" w:type="dxa"/>
          </w:tcPr>
          <w:p w:rsidR="004B25F0" w:rsidRDefault="004B25F0" w:rsidP="0093200D">
            <w:pPr>
              <w:rPr>
                <w:b/>
                <w:bCs/>
                <w:sz w:val="20"/>
              </w:rPr>
            </w:pPr>
            <w:r>
              <w:rPr>
                <w:b/>
                <w:bCs/>
                <w:sz w:val="20"/>
              </w:rPr>
              <w:t xml:space="preserve">14. Engaging Students </w:t>
            </w:r>
          </w:p>
          <w:p w:rsidR="004B25F0" w:rsidRDefault="004B25F0" w:rsidP="0093200D">
            <w:pPr>
              <w:rPr>
                <w:bCs/>
                <w:sz w:val="20"/>
              </w:rPr>
            </w:pPr>
          </w:p>
          <w:p w:rsidR="004B25F0"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5b</w:t>
            </w:r>
          </w:p>
        </w:tc>
        <w:tc>
          <w:tcPr>
            <w:tcW w:w="2700" w:type="dxa"/>
          </w:tcPr>
          <w:p w:rsidR="004B25F0" w:rsidRDefault="004B25F0" w:rsidP="0093200D">
            <w:pPr>
              <w:rPr>
                <w:rFonts w:eastAsia="Calibri"/>
                <w:sz w:val="20"/>
              </w:rPr>
            </w:pPr>
            <w:r w:rsidRPr="00AC5129">
              <w:rPr>
                <w:b/>
                <w:bCs/>
                <w:color w:val="000000" w:themeColor="text1"/>
                <w:sz w:val="20"/>
              </w:rPr>
              <w:t>Consistently</w:t>
            </w:r>
            <w:r>
              <w:rPr>
                <w:color w:val="000000" w:themeColor="text1"/>
                <w:sz w:val="20"/>
              </w:rPr>
              <w:t xml:space="preserve"> e</w:t>
            </w:r>
            <w:r w:rsidRPr="003511A2">
              <w:rPr>
                <w:color w:val="000000" w:themeColor="text1"/>
                <w:sz w:val="20"/>
              </w:rPr>
              <w:t>ngage</w:t>
            </w:r>
            <w:r>
              <w:rPr>
                <w:color w:val="000000" w:themeColor="text1"/>
                <w:sz w:val="20"/>
              </w:rPr>
              <w:t>s</w:t>
            </w:r>
            <w:r w:rsidRPr="003511A2">
              <w:rPr>
                <w:color w:val="000000" w:themeColor="text1"/>
                <w:sz w:val="20"/>
              </w:rPr>
              <w:t xml:space="preserve"> students in developmentally appropriate mathematical activities and investigations that require active engagement and include mathematics-specific technology in building new knowledge.</w:t>
            </w:r>
          </w:p>
        </w:tc>
        <w:tc>
          <w:tcPr>
            <w:tcW w:w="2520" w:type="dxa"/>
          </w:tcPr>
          <w:p w:rsidR="004B25F0" w:rsidRDefault="004B25F0" w:rsidP="0093200D">
            <w:pPr>
              <w:rPr>
                <w:rFonts w:eastAsia="Calibri"/>
                <w:sz w:val="20"/>
              </w:rPr>
            </w:pPr>
            <w:r w:rsidRPr="003511A2">
              <w:rPr>
                <w:color w:val="000000" w:themeColor="text1"/>
                <w:sz w:val="20"/>
              </w:rPr>
              <w:t>Engage</w:t>
            </w:r>
            <w:r>
              <w:rPr>
                <w:color w:val="000000" w:themeColor="text1"/>
                <w:sz w:val="20"/>
              </w:rPr>
              <w:t>s</w:t>
            </w:r>
            <w:r w:rsidRPr="003511A2">
              <w:rPr>
                <w:color w:val="000000" w:themeColor="text1"/>
                <w:sz w:val="20"/>
              </w:rPr>
              <w:t xml:space="preserve"> students in developmentally appropriate mathematical activities and investigations that require active engagement and include mathematics-specific technology in building new knowledge.</w:t>
            </w:r>
          </w:p>
        </w:tc>
        <w:tc>
          <w:tcPr>
            <w:tcW w:w="2502" w:type="dxa"/>
          </w:tcPr>
          <w:p w:rsidR="004B25F0" w:rsidRDefault="004B25F0" w:rsidP="0093200D">
            <w:pPr>
              <w:rPr>
                <w:rFonts w:eastAsia="Calibri"/>
                <w:sz w:val="20"/>
              </w:rPr>
            </w:pPr>
            <w:r>
              <w:rPr>
                <w:color w:val="000000" w:themeColor="text1"/>
                <w:sz w:val="20"/>
              </w:rPr>
              <w:t>Does not e</w:t>
            </w:r>
            <w:r w:rsidRPr="003511A2">
              <w:rPr>
                <w:color w:val="000000" w:themeColor="text1"/>
                <w:sz w:val="20"/>
              </w:rPr>
              <w:t>ngage students in developmentally appropr</w:t>
            </w:r>
            <w:r>
              <w:rPr>
                <w:color w:val="000000" w:themeColor="text1"/>
                <w:sz w:val="20"/>
              </w:rPr>
              <w:t>iate mathematical activities and</w:t>
            </w:r>
            <w:r w:rsidRPr="003511A2">
              <w:rPr>
                <w:color w:val="000000" w:themeColor="text1"/>
                <w:sz w:val="20"/>
              </w:rPr>
              <w:t xml:space="preserve"> investigations th</w:t>
            </w:r>
            <w:r>
              <w:rPr>
                <w:color w:val="000000" w:themeColor="text1"/>
                <w:sz w:val="20"/>
              </w:rPr>
              <w:t>at require active engagement or</w:t>
            </w:r>
            <w:r w:rsidRPr="003511A2">
              <w:rPr>
                <w:color w:val="000000" w:themeColor="text1"/>
                <w:sz w:val="20"/>
              </w:rPr>
              <w:t xml:space="preserve"> include mathematics-specific technology in building new knowledge.</w:t>
            </w:r>
          </w:p>
        </w:tc>
      </w:tr>
      <w:tr w:rsidR="004B25F0" w:rsidRPr="0038064A" w:rsidTr="0093200D">
        <w:tc>
          <w:tcPr>
            <w:tcW w:w="1818" w:type="dxa"/>
          </w:tcPr>
          <w:p w:rsidR="004B25F0" w:rsidRDefault="004B25F0" w:rsidP="0093200D">
            <w:pPr>
              <w:rPr>
                <w:b/>
                <w:bCs/>
                <w:sz w:val="20"/>
              </w:rPr>
            </w:pPr>
            <w:r>
              <w:rPr>
                <w:b/>
                <w:bCs/>
                <w:sz w:val="20"/>
              </w:rPr>
              <w:t xml:space="preserve">15. Enhancing Student Learning as a Result of Instruction </w:t>
            </w:r>
          </w:p>
          <w:p w:rsidR="004B25F0" w:rsidRDefault="004B25F0" w:rsidP="0093200D">
            <w:pPr>
              <w:rPr>
                <w:bCs/>
                <w:sz w:val="20"/>
              </w:rPr>
            </w:pPr>
          </w:p>
          <w:p w:rsidR="004B25F0"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5c</w:t>
            </w:r>
          </w:p>
        </w:tc>
        <w:tc>
          <w:tcPr>
            <w:tcW w:w="2700" w:type="dxa"/>
          </w:tcPr>
          <w:p w:rsidR="004B25F0" w:rsidRDefault="004B25F0" w:rsidP="0093200D">
            <w:pPr>
              <w:rPr>
                <w:rFonts w:eastAsia="Calibri"/>
                <w:sz w:val="20"/>
              </w:rPr>
            </w:pPr>
            <w:r w:rsidRPr="00AC5129">
              <w:rPr>
                <w:b/>
                <w:bCs/>
                <w:sz w:val="20"/>
              </w:rPr>
              <w:t>Frequently</w:t>
            </w:r>
            <w:r>
              <w:rPr>
                <w:sz w:val="20"/>
              </w:rPr>
              <w:t xml:space="preserve"> c</w:t>
            </w:r>
            <w:r w:rsidRPr="003511A2">
              <w:rPr>
                <w:sz w:val="20"/>
              </w:rPr>
              <w:t>ollect</w:t>
            </w:r>
            <w:r>
              <w:rPr>
                <w:sz w:val="20"/>
              </w:rPr>
              <w:t>s</w:t>
            </w:r>
            <w:r w:rsidRPr="003511A2">
              <w:rPr>
                <w:sz w:val="20"/>
              </w:rPr>
              <w:t>, organize</w:t>
            </w:r>
            <w:r>
              <w:rPr>
                <w:sz w:val="20"/>
              </w:rPr>
              <w:t>s</w:t>
            </w:r>
            <w:r w:rsidRPr="003511A2">
              <w:rPr>
                <w:sz w:val="20"/>
              </w:rPr>
              <w:t>, analyze</w:t>
            </w:r>
            <w:r>
              <w:rPr>
                <w:sz w:val="20"/>
              </w:rPr>
              <w:t>s</w:t>
            </w:r>
            <w:r w:rsidRPr="003511A2">
              <w:rPr>
                <w:sz w:val="20"/>
              </w:rPr>
              <w:t>, and reflect</w:t>
            </w:r>
            <w:r>
              <w:rPr>
                <w:sz w:val="20"/>
              </w:rPr>
              <w:t>s</w:t>
            </w:r>
            <w:r w:rsidRPr="003511A2">
              <w:rPr>
                <w:sz w:val="20"/>
              </w:rPr>
              <w:t xml:space="preserve"> on diagnostic, formative, and summative assessment evidence and determine</w:t>
            </w:r>
            <w:r>
              <w:rPr>
                <w:sz w:val="20"/>
              </w:rPr>
              <w:t>s</w:t>
            </w:r>
            <w:r w:rsidRPr="003511A2">
              <w:rPr>
                <w:sz w:val="20"/>
              </w:rPr>
              <w:t xml:space="preserve"> the extent to which students’ mathematical proficiencies have increased as a result of their instruction.</w:t>
            </w:r>
          </w:p>
        </w:tc>
        <w:tc>
          <w:tcPr>
            <w:tcW w:w="2520" w:type="dxa"/>
          </w:tcPr>
          <w:p w:rsidR="004B25F0" w:rsidRDefault="004B25F0" w:rsidP="0093200D">
            <w:pPr>
              <w:rPr>
                <w:rFonts w:eastAsia="Calibri"/>
                <w:sz w:val="20"/>
              </w:rPr>
            </w:pPr>
            <w:r w:rsidRPr="003511A2">
              <w:rPr>
                <w:sz w:val="20"/>
              </w:rPr>
              <w:t>Collect</w:t>
            </w:r>
            <w:r>
              <w:rPr>
                <w:sz w:val="20"/>
              </w:rPr>
              <w:t>s</w:t>
            </w:r>
            <w:r w:rsidRPr="003511A2">
              <w:rPr>
                <w:sz w:val="20"/>
              </w:rPr>
              <w:t>, organize</w:t>
            </w:r>
            <w:r>
              <w:rPr>
                <w:sz w:val="20"/>
              </w:rPr>
              <w:t>s</w:t>
            </w:r>
            <w:r w:rsidRPr="003511A2">
              <w:rPr>
                <w:sz w:val="20"/>
              </w:rPr>
              <w:t>, analyze</w:t>
            </w:r>
            <w:r>
              <w:rPr>
                <w:sz w:val="20"/>
              </w:rPr>
              <w:t>s</w:t>
            </w:r>
            <w:r w:rsidRPr="003511A2">
              <w:rPr>
                <w:sz w:val="20"/>
              </w:rPr>
              <w:t>, and reflect</w:t>
            </w:r>
            <w:r>
              <w:rPr>
                <w:sz w:val="20"/>
              </w:rPr>
              <w:t>s</w:t>
            </w:r>
            <w:r w:rsidRPr="003511A2">
              <w:rPr>
                <w:sz w:val="20"/>
              </w:rPr>
              <w:t xml:space="preserve"> on diagnostic, formative, and summative assessment evidence and determine</w:t>
            </w:r>
            <w:r>
              <w:rPr>
                <w:sz w:val="20"/>
              </w:rPr>
              <w:t>s</w:t>
            </w:r>
            <w:r w:rsidRPr="003511A2">
              <w:rPr>
                <w:sz w:val="20"/>
              </w:rPr>
              <w:t xml:space="preserve"> the extent to which students’ mathematical proficiencies have increased as a result of their instruction.</w:t>
            </w:r>
          </w:p>
        </w:tc>
        <w:tc>
          <w:tcPr>
            <w:tcW w:w="2502" w:type="dxa"/>
          </w:tcPr>
          <w:p w:rsidR="004B25F0" w:rsidRDefault="004B25F0" w:rsidP="0093200D">
            <w:pPr>
              <w:rPr>
                <w:rFonts w:eastAsia="Calibri"/>
                <w:sz w:val="20"/>
              </w:rPr>
            </w:pPr>
            <w:r>
              <w:rPr>
                <w:sz w:val="20"/>
              </w:rPr>
              <w:t>Does not c</w:t>
            </w:r>
            <w:r w:rsidRPr="003511A2">
              <w:rPr>
                <w:sz w:val="20"/>
              </w:rPr>
              <w:t>ollect, organize, analyze</w:t>
            </w:r>
            <w:r>
              <w:rPr>
                <w:sz w:val="20"/>
              </w:rPr>
              <w:t>, or</w:t>
            </w:r>
            <w:r w:rsidRPr="003511A2">
              <w:rPr>
                <w:sz w:val="20"/>
              </w:rPr>
              <w:t xml:space="preserve"> reflect</w:t>
            </w:r>
            <w:r>
              <w:rPr>
                <w:sz w:val="20"/>
              </w:rPr>
              <w:t xml:space="preserve"> on diagnostic, formative, or</w:t>
            </w:r>
            <w:r w:rsidRPr="003511A2">
              <w:rPr>
                <w:sz w:val="20"/>
              </w:rPr>
              <w:t xml:space="preserve"> s</w:t>
            </w:r>
            <w:r>
              <w:rPr>
                <w:sz w:val="20"/>
              </w:rPr>
              <w:t>ummative assessment evidence or</w:t>
            </w:r>
            <w:r w:rsidRPr="003511A2">
              <w:rPr>
                <w:sz w:val="20"/>
              </w:rPr>
              <w:t xml:space="preserve"> determine the extent to which students’ mathematical proficiencies have increased as a result of their instruction.</w:t>
            </w:r>
          </w:p>
        </w:tc>
      </w:tr>
      <w:tr w:rsidR="004B25F0" w:rsidRPr="0038064A" w:rsidTr="0093200D">
        <w:tc>
          <w:tcPr>
            <w:tcW w:w="1818" w:type="dxa"/>
          </w:tcPr>
          <w:p w:rsidR="004B25F0" w:rsidRDefault="004B25F0" w:rsidP="0093200D">
            <w:pPr>
              <w:rPr>
                <w:b/>
                <w:bCs/>
                <w:sz w:val="20"/>
              </w:rPr>
            </w:pPr>
            <w:r>
              <w:rPr>
                <w:b/>
                <w:bCs/>
                <w:sz w:val="20"/>
              </w:rPr>
              <w:t>16. Participating in Professional Development</w:t>
            </w:r>
          </w:p>
          <w:p w:rsidR="004B25F0" w:rsidRDefault="004B25F0" w:rsidP="0093200D">
            <w:pPr>
              <w:rPr>
                <w:bCs/>
                <w:sz w:val="20"/>
              </w:rPr>
            </w:pPr>
          </w:p>
          <w:p w:rsidR="004B25F0"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6a</w:t>
            </w:r>
          </w:p>
        </w:tc>
        <w:tc>
          <w:tcPr>
            <w:tcW w:w="2700" w:type="dxa"/>
          </w:tcPr>
          <w:p w:rsidR="004B25F0" w:rsidRDefault="004B25F0" w:rsidP="0093200D">
            <w:pPr>
              <w:rPr>
                <w:rFonts w:eastAsia="Calibri"/>
                <w:sz w:val="20"/>
              </w:rPr>
            </w:pPr>
            <w:r w:rsidRPr="003511A2">
              <w:rPr>
                <w:rFonts w:eastAsia="Calibri"/>
                <w:color w:val="000000"/>
                <w:sz w:val="20"/>
              </w:rPr>
              <w:t>Take</w:t>
            </w:r>
            <w:r>
              <w:rPr>
                <w:rFonts w:eastAsia="Calibri"/>
                <w:color w:val="000000"/>
                <w:sz w:val="20"/>
              </w:rPr>
              <w:t>s</w:t>
            </w:r>
            <w:r w:rsidRPr="003511A2">
              <w:rPr>
                <w:rFonts w:eastAsia="Calibri"/>
                <w:color w:val="000000"/>
                <w:sz w:val="20"/>
              </w:rPr>
              <w:t xml:space="preserve"> </w:t>
            </w:r>
            <w:r w:rsidRPr="00AC5129">
              <w:rPr>
                <w:rFonts w:eastAsia="Calibri"/>
                <w:b/>
                <w:bCs/>
                <w:color w:val="000000"/>
                <w:sz w:val="20"/>
              </w:rPr>
              <w:t>initiative and</w:t>
            </w:r>
            <w:r>
              <w:rPr>
                <w:rFonts w:eastAsia="Calibri"/>
                <w:color w:val="000000"/>
                <w:sz w:val="20"/>
              </w:rPr>
              <w:t xml:space="preserve"> </w:t>
            </w:r>
            <w:r w:rsidRPr="003511A2">
              <w:rPr>
                <w:rFonts w:eastAsia="Calibri"/>
                <w:color w:val="000000"/>
                <w:sz w:val="20"/>
              </w:rPr>
              <w:t>an active role in their professional growth by participating in professional development experiences that directly relate</w:t>
            </w:r>
            <w:r>
              <w:rPr>
                <w:rFonts w:eastAsia="Calibri"/>
                <w:color w:val="000000"/>
                <w:sz w:val="20"/>
              </w:rPr>
              <w:t>s</w:t>
            </w:r>
            <w:r w:rsidRPr="003511A2">
              <w:rPr>
                <w:rFonts w:eastAsia="Calibri"/>
                <w:color w:val="000000"/>
                <w:sz w:val="20"/>
              </w:rPr>
              <w:t xml:space="preserve"> to the learning and teaching of mathematics</w:t>
            </w:r>
            <w:r w:rsidRPr="003511A2">
              <w:rPr>
                <w:sz w:val="20"/>
              </w:rPr>
              <w:t>.</w:t>
            </w:r>
          </w:p>
        </w:tc>
        <w:tc>
          <w:tcPr>
            <w:tcW w:w="2520" w:type="dxa"/>
          </w:tcPr>
          <w:p w:rsidR="004B25F0" w:rsidRDefault="004B25F0" w:rsidP="0093200D">
            <w:pPr>
              <w:rPr>
                <w:rFonts w:eastAsia="Calibri"/>
                <w:sz w:val="20"/>
              </w:rPr>
            </w:pPr>
            <w:r w:rsidRPr="003511A2">
              <w:rPr>
                <w:rFonts w:eastAsia="Calibri"/>
                <w:color w:val="000000"/>
                <w:sz w:val="20"/>
              </w:rPr>
              <w:t>Take</w:t>
            </w:r>
            <w:r>
              <w:rPr>
                <w:rFonts w:eastAsia="Calibri"/>
                <w:color w:val="000000"/>
                <w:sz w:val="20"/>
              </w:rPr>
              <w:t>s</w:t>
            </w:r>
            <w:r w:rsidRPr="003511A2">
              <w:rPr>
                <w:rFonts w:eastAsia="Calibri"/>
                <w:color w:val="000000"/>
                <w:sz w:val="20"/>
              </w:rPr>
              <w:t xml:space="preserve"> an active role in their professional growth by participating in professional development experiences that directly relate</w:t>
            </w:r>
            <w:r>
              <w:rPr>
                <w:rFonts w:eastAsia="Calibri"/>
                <w:color w:val="000000"/>
                <w:sz w:val="20"/>
              </w:rPr>
              <w:t>s</w:t>
            </w:r>
            <w:r w:rsidRPr="003511A2">
              <w:rPr>
                <w:rFonts w:eastAsia="Calibri"/>
                <w:color w:val="000000"/>
                <w:sz w:val="20"/>
              </w:rPr>
              <w:t xml:space="preserve"> to the learning and teaching of mathematics</w:t>
            </w:r>
            <w:r w:rsidRPr="003511A2">
              <w:rPr>
                <w:sz w:val="20"/>
              </w:rPr>
              <w:t>.</w:t>
            </w:r>
          </w:p>
        </w:tc>
        <w:tc>
          <w:tcPr>
            <w:tcW w:w="2502" w:type="dxa"/>
          </w:tcPr>
          <w:p w:rsidR="004B25F0" w:rsidRDefault="004B25F0" w:rsidP="0093200D">
            <w:pPr>
              <w:rPr>
                <w:rFonts w:eastAsia="Calibri"/>
                <w:sz w:val="20"/>
              </w:rPr>
            </w:pPr>
            <w:r>
              <w:rPr>
                <w:rFonts w:eastAsia="Calibri"/>
                <w:color w:val="000000"/>
                <w:sz w:val="20"/>
              </w:rPr>
              <w:t>Does not t</w:t>
            </w:r>
            <w:r w:rsidRPr="003511A2">
              <w:rPr>
                <w:rFonts w:eastAsia="Calibri"/>
                <w:color w:val="000000"/>
                <w:sz w:val="20"/>
              </w:rPr>
              <w:t>ake an active role in their professional growth by participating in professional development experiences that directly relate</w:t>
            </w:r>
            <w:r>
              <w:rPr>
                <w:rFonts w:eastAsia="Calibri"/>
                <w:color w:val="000000"/>
                <w:sz w:val="20"/>
              </w:rPr>
              <w:t>s</w:t>
            </w:r>
            <w:r w:rsidRPr="003511A2">
              <w:rPr>
                <w:rFonts w:eastAsia="Calibri"/>
                <w:color w:val="000000"/>
                <w:sz w:val="20"/>
              </w:rPr>
              <w:t xml:space="preserve"> to the learning and teaching of mathematics</w:t>
            </w:r>
            <w:r w:rsidRPr="003511A2">
              <w:rPr>
                <w:sz w:val="20"/>
              </w:rPr>
              <w:t>.</w:t>
            </w:r>
          </w:p>
        </w:tc>
      </w:tr>
      <w:tr w:rsidR="004B25F0" w:rsidRPr="0038064A" w:rsidTr="0093200D">
        <w:tc>
          <w:tcPr>
            <w:tcW w:w="1818" w:type="dxa"/>
          </w:tcPr>
          <w:p w:rsidR="004B25F0" w:rsidRDefault="004B25F0" w:rsidP="0093200D">
            <w:pPr>
              <w:rPr>
                <w:b/>
                <w:bCs/>
                <w:sz w:val="20"/>
              </w:rPr>
            </w:pPr>
            <w:r>
              <w:rPr>
                <w:b/>
                <w:bCs/>
                <w:sz w:val="20"/>
              </w:rPr>
              <w:t xml:space="preserve">17. Collaboration with Colleagues and Families to Enhance Student Learning </w:t>
            </w:r>
          </w:p>
          <w:p w:rsidR="004B25F0" w:rsidRDefault="004B25F0" w:rsidP="0093200D">
            <w:pPr>
              <w:rPr>
                <w:bCs/>
                <w:sz w:val="20"/>
              </w:rPr>
            </w:pPr>
          </w:p>
          <w:p w:rsidR="004B25F0"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6b</w:t>
            </w:r>
          </w:p>
        </w:tc>
        <w:tc>
          <w:tcPr>
            <w:tcW w:w="2700" w:type="dxa"/>
          </w:tcPr>
          <w:p w:rsidR="004B25F0" w:rsidRDefault="004B25F0" w:rsidP="0093200D">
            <w:pPr>
              <w:rPr>
                <w:rFonts w:eastAsia="Calibri"/>
                <w:sz w:val="20"/>
              </w:rPr>
            </w:pPr>
            <w:r w:rsidRPr="00AC5129">
              <w:rPr>
                <w:rFonts w:eastAsia="Calibri"/>
                <w:b/>
                <w:bCs/>
                <w:color w:val="000000"/>
                <w:sz w:val="20"/>
              </w:rPr>
              <w:t>Consistently</w:t>
            </w:r>
            <w:r>
              <w:rPr>
                <w:rFonts w:eastAsia="Calibri"/>
                <w:color w:val="000000"/>
                <w:sz w:val="20"/>
              </w:rPr>
              <w:t xml:space="preserve"> e</w:t>
            </w:r>
            <w:r w:rsidRPr="003511A2">
              <w:rPr>
                <w:rFonts w:eastAsia="Calibri"/>
                <w:color w:val="000000"/>
                <w:sz w:val="20"/>
              </w:rPr>
              <w:t>ngage</w:t>
            </w:r>
            <w:r>
              <w:rPr>
                <w:rFonts w:eastAsia="Calibri"/>
                <w:color w:val="000000"/>
                <w:sz w:val="20"/>
              </w:rPr>
              <w:t>s</w:t>
            </w:r>
            <w:r w:rsidRPr="003511A2">
              <w:rPr>
                <w:rFonts w:eastAsia="Calibri"/>
                <w:color w:val="000000"/>
                <w:sz w:val="20"/>
              </w:rPr>
              <w:t xml:space="preserve"> in continuous and collaborative learning that draws upon research in mathematics education to inform practice</w:t>
            </w:r>
            <w:r w:rsidRPr="003511A2">
              <w:rPr>
                <w:color w:val="000000" w:themeColor="text1"/>
                <w:sz w:val="20"/>
              </w:rPr>
              <w:t xml:space="preserve">; </w:t>
            </w:r>
            <w:r w:rsidRPr="003511A2">
              <w:rPr>
                <w:rFonts w:eastAsia="Calibri"/>
                <w:color w:val="000000"/>
                <w:sz w:val="20"/>
              </w:rPr>
              <w:t>enhance learning opportunities for all students’ mathematical knowledge development</w:t>
            </w:r>
            <w:r w:rsidRPr="003511A2">
              <w:rPr>
                <w:color w:val="000000" w:themeColor="text1"/>
                <w:sz w:val="20"/>
              </w:rPr>
              <w:t xml:space="preserve">; </w:t>
            </w:r>
            <w:r w:rsidRPr="003511A2">
              <w:rPr>
                <w:rFonts w:eastAsia="Calibri"/>
                <w:color w:val="000000"/>
                <w:sz w:val="20"/>
              </w:rPr>
              <w:t>involve</w:t>
            </w:r>
            <w:r>
              <w:rPr>
                <w:rFonts w:eastAsia="Calibri"/>
                <w:color w:val="000000"/>
                <w:sz w:val="20"/>
              </w:rPr>
              <w:t>s</w:t>
            </w:r>
            <w:r w:rsidRPr="003511A2">
              <w:rPr>
                <w:rFonts w:eastAsia="Calibri"/>
                <w:color w:val="000000"/>
                <w:sz w:val="20"/>
              </w:rPr>
              <w:t xml:space="preserve"> colleagues, other school professionals, families, and various stakeholders</w:t>
            </w:r>
            <w:r w:rsidRPr="003511A2">
              <w:rPr>
                <w:color w:val="000000" w:themeColor="text1"/>
                <w:sz w:val="20"/>
              </w:rPr>
              <w:t>; and advance</w:t>
            </w:r>
            <w:r>
              <w:rPr>
                <w:color w:val="000000" w:themeColor="text1"/>
                <w:sz w:val="20"/>
              </w:rPr>
              <w:t>s</w:t>
            </w:r>
            <w:r w:rsidRPr="003511A2">
              <w:rPr>
                <w:color w:val="000000" w:themeColor="text1"/>
                <w:sz w:val="20"/>
              </w:rPr>
              <w:t xml:space="preserve"> their development as a reflective practitioner</w:t>
            </w:r>
            <w:r w:rsidRPr="003511A2">
              <w:rPr>
                <w:rFonts w:eastAsia="Calibri"/>
                <w:color w:val="000000"/>
                <w:sz w:val="20"/>
              </w:rPr>
              <w:t>.</w:t>
            </w:r>
          </w:p>
        </w:tc>
        <w:tc>
          <w:tcPr>
            <w:tcW w:w="2520" w:type="dxa"/>
          </w:tcPr>
          <w:p w:rsidR="004B25F0" w:rsidRDefault="004B25F0" w:rsidP="0093200D">
            <w:pPr>
              <w:rPr>
                <w:rFonts w:eastAsia="Calibri"/>
                <w:sz w:val="20"/>
              </w:rPr>
            </w:pPr>
            <w:r w:rsidRPr="003511A2">
              <w:rPr>
                <w:rFonts w:eastAsia="Calibri"/>
                <w:color w:val="000000"/>
                <w:sz w:val="20"/>
              </w:rPr>
              <w:t>Engage</w:t>
            </w:r>
            <w:r>
              <w:rPr>
                <w:rFonts w:eastAsia="Calibri"/>
                <w:color w:val="000000"/>
                <w:sz w:val="20"/>
              </w:rPr>
              <w:t>s</w:t>
            </w:r>
            <w:r w:rsidRPr="003511A2">
              <w:rPr>
                <w:rFonts w:eastAsia="Calibri"/>
                <w:color w:val="000000"/>
                <w:sz w:val="20"/>
              </w:rPr>
              <w:t xml:space="preserve"> in continuous and collaborative learning that draws upon research in mathematics education to inform practice</w:t>
            </w:r>
            <w:r w:rsidRPr="003511A2">
              <w:rPr>
                <w:color w:val="000000" w:themeColor="text1"/>
                <w:sz w:val="20"/>
              </w:rPr>
              <w:t xml:space="preserve">; </w:t>
            </w:r>
            <w:r w:rsidRPr="003511A2">
              <w:rPr>
                <w:rFonts w:eastAsia="Calibri"/>
                <w:color w:val="000000"/>
                <w:sz w:val="20"/>
              </w:rPr>
              <w:t>enhance learning opportunities for all students’ mathematical knowledge development</w:t>
            </w:r>
            <w:r w:rsidRPr="003511A2">
              <w:rPr>
                <w:color w:val="000000" w:themeColor="text1"/>
                <w:sz w:val="20"/>
              </w:rPr>
              <w:t xml:space="preserve">; </w:t>
            </w:r>
            <w:r w:rsidRPr="003511A2">
              <w:rPr>
                <w:rFonts w:eastAsia="Calibri"/>
                <w:color w:val="000000"/>
                <w:sz w:val="20"/>
              </w:rPr>
              <w:t>involve</w:t>
            </w:r>
            <w:r>
              <w:rPr>
                <w:rFonts w:eastAsia="Calibri"/>
                <w:color w:val="000000"/>
                <w:sz w:val="20"/>
              </w:rPr>
              <w:t>s</w:t>
            </w:r>
            <w:r w:rsidRPr="003511A2">
              <w:rPr>
                <w:rFonts w:eastAsia="Calibri"/>
                <w:color w:val="000000"/>
                <w:sz w:val="20"/>
              </w:rPr>
              <w:t xml:space="preserve"> colleagues, other school professionals, families, and various stakeholders</w:t>
            </w:r>
            <w:r w:rsidRPr="003511A2">
              <w:rPr>
                <w:color w:val="000000" w:themeColor="text1"/>
                <w:sz w:val="20"/>
              </w:rPr>
              <w:t>; and advance</w:t>
            </w:r>
            <w:r>
              <w:rPr>
                <w:color w:val="000000" w:themeColor="text1"/>
                <w:sz w:val="20"/>
              </w:rPr>
              <w:t>s</w:t>
            </w:r>
            <w:r w:rsidRPr="003511A2">
              <w:rPr>
                <w:color w:val="000000" w:themeColor="text1"/>
                <w:sz w:val="20"/>
              </w:rPr>
              <w:t xml:space="preserve"> their development as a reflective practitioner</w:t>
            </w:r>
            <w:r w:rsidRPr="003511A2">
              <w:rPr>
                <w:rFonts w:eastAsia="Calibri"/>
                <w:color w:val="000000"/>
                <w:sz w:val="20"/>
              </w:rPr>
              <w:t>.</w:t>
            </w:r>
          </w:p>
        </w:tc>
        <w:tc>
          <w:tcPr>
            <w:tcW w:w="2502" w:type="dxa"/>
          </w:tcPr>
          <w:p w:rsidR="004B25F0" w:rsidRDefault="004B25F0" w:rsidP="0093200D">
            <w:pPr>
              <w:rPr>
                <w:rFonts w:eastAsia="Calibri"/>
                <w:sz w:val="20"/>
              </w:rPr>
            </w:pPr>
            <w:r>
              <w:rPr>
                <w:rFonts w:eastAsia="Calibri"/>
                <w:color w:val="000000"/>
                <w:sz w:val="20"/>
              </w:rPr>
              <w:t>Does not e</w:t>
            </w:r>
            <w:r w:rsidRPr="003511A2">
              <w:rPr>
                <w:rFonts w:eastAsia="Calibri"/>
                <w:color w:val="000000"/>
                <w:sz w:val="20"/>
              </w:rPr>
              <w:t>ngage in continuous and collaborative learning that draws upon research in mathematics education to inform practice</w:t>
            </w:r>
            <w:r w:rsidRPr="003511A2">
              <w:rPr>
                <w:color w:val="000000" w:themeColor="text1"/>
                <w:sz w:val="20"/>
              </w:rPr>
              <w:t xml:space="preserve">; </w:t>
            </w:r>
            <w:r w:rsidRPr="003511A2">
              <w:rPr>
                <w:rFonts w:eastAsia="Calibri"/>
                <w:color w:val="000000"/>
                <w:sz w:val="20"/>
              </w:rPr>
              <w:t>enhance learning opportunities for all students’ mathematical knowledge development</w:t>
            </w:r>
            <w:r w:rsidRPr="003511A2">
              <w:rPr>
                <w:color w:val="000000" w:themeColor="text1"/>
                <w:sz w:val="20"/>
              </w:rPr>
              <w:t xml:space="preserve">; </w:t>
            </w:r>
            <w:r w:rsidRPr="003511A2">
              <w:rPr>
                <w:rFonts w:eastAsia="Calibri"/>
                <w:color w:val="000000"/>
                <w:sz w:val="20"/>
              </w:rPr>
              <w:t>involve</w:t>
            </w:r>
            <w:r>
              <w:rPr>
                <w:rFonts w:eastAsia="Calibri"/>
                <w:color w:val="000000"/>
                <w:sz w:val="20"/>
              </w:rPr>
              <w:t>s</w:t>
            </w:r>
            <w:r w:rsidRPr="003511A2">
              <w:rPr>
                <w:rFonts w:eastAsia="Calibri"/>
                <w:color w:val="000000"/>
                <w:sz w:val="20"/>
              </w:rPr>
              <w:t xml:space="preserve"> colleagues, other school professionals, families, and various stakeholders</w:t>
            </w:r>
            <w:r>
              <w:rPr>
                <w:color w:val="000000" w:themeColor="text1"/>
                <w:sz w:val="20"/>
              </w:rPr>
              <w:t>; or</w:t>
            </w:r>
            <w:r w:rsidRPr="003511A2">
              <w:rPr>
                <w:color w:val="000000" w:themeColor="text1"/>
                <w:sz w:val="20"/>
              </w:rPr>
              <w:t xml:space="preserve"> advance</w:t>
            </w:r>
            <w:r>
              <w:rPr>
                <w:color w:val="000000" w:themeColor="text1"/>
                <w:sz w:val="20"/>
              </w:rPr>
              <w:t>s</w:t>
            </w:r>
            <w:r w:rsidRPr="003511A2">
              <w:rPr>
                <w:color w:val="000000" w:themeColor="text1"/>
                <w:sz w:val="20"/>
              </w:rPr>
              <w:t xml:space="preserve"> their development as a reflective practitioner</w:t>
            </w:r>
            <w:r w:rsidRPr="003511A2">
              <w:rPr>
                <w:rFonts w:eastAsia="Calibri"/>
                <w:color w:val="000000"/>
                <w:sz w:val="20"/>
              </w:rPr>
              <w:t>.</w:t>
            </w:r>
          </w:p>
        </w:tc>
      </w:tr>
      <w:tr w:rsidR="004B25F0" w:rsidRPr="0038064A" w:rsidTr="0093200D">
        <w:tc>
          <w:tcPr>
            <w:tcW w:w="1818" w:type="dxa"/>
          </w:tcPr>
          <w:p w:rsidR="004B25F0" w:rsidRDefault="004B25F0" w:rsidP="0093200D">
            <w:pPr>
              <w:rPr>
                <w:b/>
                <w:bCs/>
                <w:sz w:val="20"/>
              </w:rPr>
            </w:pPr>
            <w:r>
              <w:rPr>
                <w:b/>
                <w:bCs/>
                <w:sz w:val="20"/>
              </w:rPr>
              <w:t>18. Using Resources from Professional Organizations</w:t>
            </w:r>
          </w:p>
          <w:p w:rsidR="004B25F0" w:rsidRDefault="004B25F0" w:rsidP="0093200D">
            <w:pPr>
              <w:rPr>
                <w:bCs/>
                <w:sz w:val="20"/>
              </w:rPr>
            </w:pPr>
          </w:p>
          <w:p w:rsidR="004B25F0"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6c</w:t>
            </w:r>
          </w:p>
        </w:tc>
        <w:tc>
          <w:tcPr>
            <w:tcW w:w="2700" w:type="dxa"/>
          </w:tcPr>
          <w:p w:rsidR="004B25F0" w:rsidRDefault="004B25F0" w:rsidP="0093200D">
            <w:pPr>
              <w:rPr>
                <w:rFonts w:eastAsia="Calibri"/>
                <w:sz w:val="20"/>
              </w:rPr>
            </w:pPr>
            <w:r w:rsidRPr="00746AEF">
              <w:rPr>
                <w:b/>
                <w:bCs/>
                <w:color w:val="000000" w:themeColor="text1"/>
                <w:sz w:val="20"/>
              </w:rPr>
              <w:t>Extensively</w:t>
            </w:r>
            <w:r>
              <w:rPr>
                <w:color w:val="000000" w:themeColor="text1"/>
                <w:sz w:val="20"/>
              </w:rPr>
              <w:t xml:space="preserve"> u</w:t>
            </w:r>
            <w:r w:rsidRPr="003511A2">
              <w:rPr>
                <w:color w:val="000000" w:themeColor="text1"/>
                <w:sz w:val="20"/>
              </w:rPr>
              <w:t>se</w:t>
            </w:r>
            <w:r>
              <w:rPr>
                <w:color w:val="000000" w:themeColor="text1"/>
                <w:sz w:val="20"/>
              </w:rPr>
              <w:t>s</w:t>
            </w:r>
            <w:r w:rsidRPr="003511A2">
              <w:rPr>
                <w:color w:val="000000" w:themeColor="text1"/>
                <w:sz w:val="20"/>
              </w:rPr>
              <w:t xml:space="preserve"> </w:t>
            </w:r>
            <w:r w:rsidRPr="003511A2">
              <w:rPr>
                <w:sz w:val="20"/>
              </w:rPr>
              <w:t xml:space="preserve">resources from </w:t>
            </w:r>
            <w:r w:rsidRPr="003511A2">
              <w:rPr>
                <w:rFonts w:eastAsia="Calibri"/>
                <w:color w:val="000000"/>
                <w:sz w:val="20"/>
              </w:rPr>
              <w:t>professional mathematics education organizations</w:t>
            </w:r>
            <w:r w:rsidRPr="003511A2">
              <w:rPr>
                <w:sz w:val="20"/>
              </w:rPr>
              <w:t xml:space="preserve"> such as print, </w:t>
            </w:r>
            <w:r w:rsidRPr="003511A2">
              <w:rPr>
                <w:rFonts w:eastAsia="Calibri"/>
                <w:color w:val="000000"/>
                <w:sz w:val="20"/>
              </w:rPr>
              <w:t>digital</w:t>
            </w:r>
            <w:r w:rsidRPr="003511A2">
              <w:rPr>
                <w:sz w:val="20"/>
              </w:rPr>
              <w:t xml:space="preserve">, and virtual </w:t>
            </w:r>
            <w:r w:rsidRPr="003511A2">
              <w:rPr>
                <w:rFonts w:eastAsia="Calibri"/>
                <w:color w:val="000000"/>
                <w:sz w:val="20"/>
              </w:rPr>
              <w:t>resources</w:t>
            </w:r>
            <w:r w:rsidRPr="003511A2">
              <w:rPr>
                <w:sz w:val="20"/>
              </w:rPr>
              <w:t xml:space="preserve"> and collections.</w:t>
            </w:r>
          </w:p>
        </w:tc>
        <w:tc>
          <w:tcPr>
            <w:tcW w:w="2520" w:type="dxa"/>
          </w:tcPr>
          <w:p w:rsidR="004B25F0" w:rsidRDefault="004B25F0" w:rsidP="0093200D">
            <w:pPr>
              <w:rPr>
                <w:rFonts w:eastAsia="Calibri"/>
                <w:sz w:val="20"/>
              </w:rPr>
            </w:pPr>
            <w:r w:rsidRPr="003511A2">
              <w:rPr>
                <w:color w:val="000000" w:themeColor="text1"/>
                <w:sz w:val="20"/>
              </w:rPr>
              <w:t>Use</w:t>
            </w:r>
            <w:r>
              <w:rPr>
                <w:color w:val="000000" w:themeColor="text1"/>
                <w:sz w:val="20"/>
              </w:rPr>
              <w:t>s</w:t>
            </w:r>
            <w:r w:rsidRPr="003511A2">
              <w:rPr>
                <w:color w:val="000000" w:themeColor="text1"/>
                <w:sz w:val="20"/>
              </w:rPr>
              <w:t xml:space="preserve"> </w:t>
            </w:r>
            <w:r w:rsidRPr="003511A2">
              <w:rPr>
                <w:sz w:val="20"/>
              </w:rPr>
              <w:t xml:space="preserve">resources from </w:t>
            </w:r>
            <w:r w:rsidRPr="003511A2">
              <w:rPr>
                <w:rFonts w:eastAsia="Calibri"/>
                <w:color w:val="000000"/>
                <w:sz w:val="20"/>
              </w:rPr>
              <w:t>professional mathematics education organizations</w:t>
            </w:r>
            <w:r w:rsidRPr="003511A2">
              <w:rPr>
                <w:sz w:val="20"/>
              </w:rPr>
              <w:t xml:space="preserve"> such as print, </w:t>
            </w:r>
            <w:r w:rsidRPr="003511A2">
              <w:rPr>
                <w:rFonts w:eastAsia="Calibri"/>
                <w:color w:val="000000"/>
                <w:sz w:val="20"/>
              </w:rPr>
              <w:t>digital</w:t>
            </w:r>
            <w:r w:rsidRPr="003511A2">
              <w:rPr>
                <w:sz w:val="20"/>
              </w:rPr>
              <w:t xml:space="preserve">, and virtual </w:t>
            </w:r>
            <w:r w:rsidRPr="003511A2">
              <w:rPr>
                <w:rFonts w:eastAsia="Calibri"/>
                <w:color w:val="000000"/>
                <w:sz w:val="20"/>
              </w:rPr>
              <w:t>resources</w:t>
            </w:r>
            <w:r w:rsidRPr="003511A2">
              <w:rPr>
                <w:sz w:val="20"/>
              </w:rPr>
              <w:t xml:space="preserve"> and collections.</w:t>
            </w:r>
          </w:p>
        </w:tc>
        <w:tc>
          <w:tcPr>
            <w:tcW w:w="2502" w:type="dxa"/>
          </w:tcPr>
          <w:p w:rsidR="004B25F0" w:rsidRDefault="004B25F0" w:rsidP="0093200D">
            <w:pPr>
              <w:rPr>
                <w:rFonts w:eastAsia="Calibri"/>
                <w:sz w:val="20"/>
              </w:rPr>
            </w:pPr>
            <w:r>
              <w:rPr>
                <w:color w:val="000000" w:themeColor="text1"/>
                <w:sz w:val="20"/>
              </w:rPr>
              <w:t>Does not u</w:t>
            </w:r>
            <w:r w:rsidRPr="003511A2">
              <w:rPr>
                <w:color w:val="000000" w:themeColor="text1"/>
                <w:sz w:val="20"/>
              </w:rPr>
              <w:t xml:space="preserve">se </w:t>
            </w:r>
            <w:r w:rsidRPr="003511A2">
              <w:rPr>
                <w:sz w:val="20"/>
              </w:rPr>
              <w:t xml:space="preserve">resources from </w:t>
            </w:r>
            <w:r w:rsidRPr="003511A2">
              <w:rPr>
                <w:rFonts w:eastAsia="Calibri"/>
                <w:color w:val="000000"/>
                <w:sz w:val="20"/>
              </w:rPr>
              <w:t>professional mathematics education organizations</w:t>
            </w:r>
            <w:r w:rsidRPr="003511A2">
              <w:rPr>
                <w:sz w:val="20"/>
              </w:rPr>
              <w:t xml:space="preserve"> such as print, </w:t>
            </w:r>
            <w:r w:rsidRPr="003511A2">
              <w:rPr>
                <w:rFonts w:eastAsia="Calibri"/>
                <w:color w:val="000000"/>
                <w:sz w:val="20"/>
              </w:rPr>
              <w:t>digital</w:t>
            </w:r>
            <w:r>
              <w:rPr>
                <w:sz w:val="20"/>
              </w:rPr>
              <w:t>, or</w:t>
            </w:r>
            <w:r w:rsidRPr="003511A2">
              <w:rPr>
                <w:sz w:val="20"/>
              </w:rPr>
              <w:t xml:space="preserve"> virtual </w:t>
            </w:r>
            <w:r w:rsidRPr="003511A2">
              <w:rPr>
                <w:rFonts w:eastAsia="Calibri"/>
                <w:color w:val="000000"/>
                <w:sz w:val="20"/>
              </w:rPr>
              <w:t>resources</w:t>
            </w:r>
            <w:r w:rsidRPr="003511A2">
              <w:rPr>
                <w:sz w:val="20"/>
              </w:rPr>
              <w:t xml:space="preserve"> and collections.</w:t>
            </w:r>
          </w:p>
        </w:tc>
      </w:tr>
      <w:tr w:rsidR="004B25F0" w:rsidRPr="0038064A" w:rsidTr="0093200D">
        <w:tc>
          <w:tcPr>
            <w:tcW w:w="1818" w:type="dxa"/>
          </w:tcPr>
          <w:p w:rsidR="004B25F0" w:rsidRDefault="004B25F0" w:rsidP="0093200D">
            <w:pPr>
              <w:rPr>
                <w:b/>
                <w:bCs/>
                <w:sz w:val="20"/>
              </w:rPr>
            </w:pPr>
            <w:r>
              <w:rPr>
                <w:b/>
                <w:bCs/>
                <w:sz w:val="20"/>
              </w:rPr>
              <w:t>19. Developing Knowledge, Skills, and Professional Behaviors</w:t>
            </w:r>
          </w:p>
          <w:p w:rsidR="004B25F0" w:rsidRDefault="004B25F0" w:rsidP="0093200D">
            <w:pPr>
              <w:rPr>
                <w:bCs/>
                <w:sz w:val="20"/>
              </w:rPr>
            </w:pPr>
          </w:p>
          <w:p w:rsidR="004B25F0" w:rsidRDefault="004B25F0" w:rsidP="0093200D">
            <w:pPr>
              <w:rPr>
                <w:b/>
                <w:bCs/>
                <w:sz w:val="20"/>
              </w:rPr>
            </w:pPr>
            <w:r w:rsidRPr="00FD0249">
              <w:rPr>
                <w:bCs/>
                <w:sz w:val="20"/>
              </w:rPr>
              <w:t>N</w:t>
            </w:r>
            <w:r>
              <w:rPr>
                <w:bCs/>
                <w:sz w:val="20"/>
              </w:rPr>
              <w:t>CTM CAEP</w:t>
            </w:r>
            <w:r w:rsidRPr="00FD0249">
              <w:rPr>
                <w:bCs/>
                <w:sz w:val="20"/>
              </w:rPr>
              <w:t xml:space="preserve"> Standards 2012,</w:t>
            </w:r>
            <w:r>
              <w:rPr>
                <w:bCs/>
                <w:sz w:val="20"/>
              </w:rPr>
              <w:t xml:space="preserve"> 7c</w:t>
            </w:r>
          </w:p>
        </w:tc>
        <w:tc>
          <w:tcPr>
            <w:tcW w:w="2700" w:type="dxa"/>
          </w:tcPr>
          <w:p w:rsidR="004B25F0" w:rsidRDefault="004B25F0" w:rsidP="0093200D">
            <w:pPr>
              <w:rPr>
                <w:rFonts w:eastAsia="Calibri"/>
                <w:sz w:val="20"/>
              </w:rPr>
            </w:pPr>
            <w:r w:rsidRPr="00746AEF">
              <w:rPr>
                <w:b/>
                <w:bCs/>
                <w:color w:val="000000" w:themeColor="text1"/>
                <w:sz w:val="20"/>
              </w:rPr>
              <w:t>Consistently</w:t>
            </w:r>
            <w:r>
              <w:rPr>
                <w:color w:val="000000" w:themeColor="text1"/>
                <w:sz w:val="20"/>
              </w:rPr>
              <w:t xml:space="preserve"> d</w:t>
            </w:r>
            <w:r w:rsidRPr="003511A2">
              <w:rPr>
                <w:color w:val="000000"/>
                <w:sz w:val="20"/>
              </w:rPr>
              <w:t>evelop</w:t>
            </w:r>
            <w:r>
              <w:rPr>
                <w:color w:val="000000"/>
                <w:sz w:val="20"/>
              </w:rPr>
              <w:t>s</w:t>
            </w:r>
            <w:r w:rsidRPr="003511A2">
              <w:rPr>
                <w:rFonts w:eastAsia="Calibri"/>
                <w:color w:val="000000"/>
                <w:sz w:val="20"/>
              </w:rPr>
              <w:t xml:space="preserve"> knowledge, skills, and professional behaviors</w:t>
            </w:r>
            <w:r w:rsidRPr="003511A2">
              <w:rPr>
                <w:color w:val="000000" w:themeColor="text1"/>
                <w:sz w:val="20"/>
              </w:rPr>
              <w:t>;</w:t>
            </w:r>
            <w:r w:rsidRPr="003511A2">
              <w:rPr>
                <w:rFonts w:eastAsia="Calibri"/>
                <w:color w:val="000000"/>
                <w:sz w:val="20"/>
              </w:rPr>
              <w:t xml:space="preserve"> examine</w:t>
            </w:r>
            <w:r>
              <w:rPr>
                <w:rFonts w:eastAsia="Calibri"/>
                <w:color w:val="000000"/>
                <w:sz w:val="20"/>
              </w:rPr>
              <w:t>s</w:t>
            </w:r>
            <w:r w:rsidRPr="003511A2">
              <w:rPr>
                <w:rFonts w:eastAsia="Calibri"/>
                <w:color w:val="000000"/>
                <w:sz w:val="20"/>
              </w:rPr>
              <w:t xml:space="preserve"> the nature of mathematics, how mathematics should be taught, and how students learn mathematics; </w:t>
            </w:r>
            <w:r w:rsidRPr="003511A2">
              <w:rPr>
                <w:color w:val="000000" w:themeColor="text1"/>
                <w:sz w:val="20"/>
              </w:rPr>
              <w:t xml:space="preserve">and </w:t>
            </w:r>
            <w:r w:rsidRPr="003511A2">
              <w:rPr>
                <w:rFonts w:eastAsia="Calibri"/>
                <w:color w:val="000000"/>
                <w:sz w:val="20"/>
              </w:rPr>
              <w:t>observe</w:t>
            </w:r>
            <w:r>
              <w:rPr>
                <w:rFonts w:eastAsia="Calibri"/>
                <w:color w:val="000000"/>
                <w:sz w:val="20"/>
              </w:rPr>
              <w:t>s</w:t>
            </w:r>
            <w:r w:rsidRPr="003511A2">
              <w:rPr>
                <w:rFonts w:eastAsia="Calibri"/>
                <w:color w:val="000000"/>
                <w:sz w:val="20"/>
              </w:rPr>
              <w:t xml:space="preserve"> and analyze</w:t>
            </w:r>
            <w:r>
              <w:rPr>
                <w:rFonts w:eastAsia="Calibri"/>
                <w:color w:val="000000"/>
                <w:sz w:val="20"/>
              </w:rPr>
              <w:t>s</w:t>
            </w:r>
            <w:r w:rsidRPr="003511A2">
              <w:rPr>
                <w:rFonts w:eastAsia="Calibri"/>
                <w:color w:val="000000"/>
                <w:sz w:val="20"/>
              </w:rPr>
              <w:t xml:space="preserve"> a range of approaches to mathematics teaching and learning, focusing on tasks, discourse, environment, and assessment</w:t>
            </w:r>
            <w:r w:rsidRPr="003511A2">
              <w:rPr>
                <w:color w:val="000000" w:themeColor="text1"/>
                <w:sz w:val="20"/>
              </w:rPr>
              <w:t>.</w:t>
            </w:r>
          </w:p>
        </w:tc>
        <w:tc>
          <w:tcPr>
            <w:tcW w:w="2520" w:type="dxa"/>
          </w:tcPr>
          <w:p w:rsidR="004B25F0" w:rsidRDefault="004B25F0" w:rsidP="0093200D">
            <w:pPr>
              <w:rPr>
                <w:rFonts w:eastAsia="Calibri"/>
                <w:sz w:val="20"/>
              </w:rPr>
            </w:pPr>
            <w:r w:rsidRPr="003511A2">
              <w:rPr>
                <w:color w:val="000000" w:themeColor="text1"/>
                <w:sz w:val="20"/>
              </w:rPr>
              <w:t>D</w:t>
            </w:r>
            <w:r w:rsidRPr="003511A2">
              <w:rPr>
                <w:color w:val="000000"/>
                <w:sz w:val="20"/>
              </w:rPr>
              <w:t>evelop</w:t>
            </w:r>
            <w:r>
              <w:rPr>
                <w:color w:val="000000"/>
                <w:sz w:val="20"/>
              </w:rPr>
              <w:t>s</w:t>
            </w:r>
            <w:r w:rsidRPr="003511A2">
              <w:rPr>
                <w:rFonts w:eastAsia="Calibri"/>
                <w:color w:val="000000"/>
                <w:sz w:val="20"/>
              </w:rPr>
              <w:t xml:space="preserve"> knowledge, skills, and professional behaviors</w:t>
            </w:r>
            <w:r w:rsidRPr="003511A2">
              <w:rPr>
                <w:color w:val="000000" w:themeColor="text1"/>
                <w:sz w:val="20"/>
              </w:rPr>
              <w:t>;</w:t>
            </w:r>
            <w:r w:rsidRPr="003511A2">
              <w:rPr>
                <w:rFonts w:eastAsia="Calibri"/>
                <w:color w:val="000000"/>
                <w:sz w:val="20"/>
              </w:rPr>
              <w:t xml:space="preserve"> examine</w:t>
            </w:r>
            <w:r>
              <w:rPr>
                <w:rFonts w:eastAsia="Calibri"/>
                <w:color w:val="000000"/>
                <w:sz w:val="20"/>
              </w:rPr>
              <w:t>s</w:t>
            </w:r>
            <w:r w:rsidRPr="003511A2">
              <w:rPr>
                <w:rFonts w:eastAsia="Calibri"/>
                <w:color w:val="000000"/>
                <w:sz w:val="20"/>
              </w:rPr>
              <w:t xml:space="preserve"> the nature of mathematics, how mathematics should be taught, and how students learn mathematics; </w:t>
            </w:r>
            <w:r w:rsidRPr="003511A2">
              <w:rPr>
                <w:color w:val="000000" w:themeColor="text1"/>
                <w:sz w:val="20"/>
              </w:rPr>
              <w:t xml:space="preserve">and </w:t>
            </w:r>
            <w:r w:rsidRPr="003511A2">
              <w:rPr>
                <w:rFonts w:eastAsia="Calibri"/>
                <w:color w:val="000000"/>
                <w:sz w:val="20"/>
              </w:rPr>
              <w:t>observe</w:t>
            </w:r>
            <w:r>
              <w:rPr>
                <w:rFonts w:eastAsia="Calibri"/>
                <w:color w:val="000000"/>
                <w:sz w:val="20"/>
              </w:rPr>
              <w:t>s</w:t>
            </w:r>
            <w:r w:rsidRPr="003511A2">
              <w:rPr>
                <w:rFonts w:eastAsia="Calibri"/>
                <w:color w:val="000000"/>
                <w:sz w:val="20"/>
              </w:rPr>
              <w:t xml:space="preserve"> and analyze</w:t>
            </w:r>
            <w:r>
              <w:rPr>
                <w:rFonts w:eastAsia="Calibri"/>
                <w:color w:val="000000"/>
                <w:sz w:val="20"/>
              </w:rPr>
              <w:t>s</w:t>
            </w:r>
            <w:r w:rsidRPr="003511A2">
              <w:rPr>
                <w:rFonts w:eastAsia="Calibri"/>
                <w:color w:val="000000"/>
                <w:sz w:val="20"/>
              </w:rPr>
              <w:t xml:space="preserve"> a range of approaches to mathematics teaching and learning, focusing on tasks, discourse, environment, and assessment</w:t>
            </w:r>
            <w:r w:rsidRPr="003511A2">
              <w:rPr>
                <w:color w:val="000000" w:themeColor="text1"/>
                <w:sz w:val="20"/>
              </w:rPr>
              <w:t>.</w:t>
            </w:r>
          </w:p>
        </w:tc>
        <w:tc>
          <w:tcPr>
            <w:tcW w:w="2502" w:type="dxa"/>
          </w:tcPr>
          <w:p w:rsidR="004B25F0" w:rsidRDefault="004B25F0" w:rsidP="0093200D">
            <w:pPr>
              <w:rPr>
                <w:rFonts w:eastAsia="Calibri"/>
                <w:sz w:val="20"/>
              </w:rPr>
            </w:pPr>
            <w:r>
              <w:rPr>
                <w:color w:val="000000" w:themeColor="text1"/>
                <w:sz w:val="20"/>
              </w:rPr>
              <w:t>Does not d</w:t>
            </w:r>
            <w:r w:rsidRPr="003511A2">
              <w:rPr>
                <w:color w:val="000000"/>
                <w:sz w:val="20"/>
              </w:rPr>
              <w:t>evelop</w:t>
            </w:r>
            <w:r w:rsidRPr="003511A2">
              <w:rPr>
                <w:rFonts w:eastAsia="Calibri"/>
                <w:color w:val="000000"/>
                <w:sz w:val="20"/>
              </w:rPr>
              <w:t xml:space="preserve"> knowledge, skills, and professional behaviors</w:t>
            </w:r>
            <w:r w:rsidRPr="003511A2">
              <w:rPr>
                <w:color w:val="000000" w:themeColor="text1"/>
                <w:sz w:val="20"/>
              </w:rPr>
              <w:t>;</w:t>
            </w:r>
            <w:r w:rsidRPr="003511A2">
              <w:rPr>
                <w:rFonts w:eastAsia="Calibri"/>
                <w:color w:val="000000"/>
                <w:sz w:val="20"/>
              </w:rPr>
              <w:t xml:space="preserve"> examine the nature of mathematics, how mathematics should be taught, and how students learn mathematics; </w:t>
            </w:r>
            <w:r>
              <w:rPr>
                <w:color w:val="000000" w:themeColor="text1"/>
                <w:sz w:val="20"/>
              </w:rPr>
              <w:t>or</w:t>
            </w:r>
            <w:r w:rsidRPr="003511A2">
              <w:rPr>
                <w:color w:val="000000" w:themeColor="text1"/>
                <w:sz w:val="20"/>
              </w:rPr>
              <w:t xml:space="preserve"> </w:t>
            </w:r>
            <w:r w:rsidRPr="003511A2">
              <w:rPr>
                <w:rFonts w:eastAsia="Calibri"/>
                <w:color w:val="000000"/>
                <w:sz w:val="20"/>
              </w:rPr>
              <w:t>observe and analyze a range of approaches to mathematics teaching and learning, focusing on tasks, discourse, environment, and assessment</w:t>
            </w:r>
            <w:r w:rsidRPr="003511A2">
              <w:rPr>
                <w:color w:val="000000" w:themeColor="text1"/>
                <w:sz w:val="20"/>
              </w:rPr>
              <w:t>.</w:t>
            </w:r>
          </w:p>
        </w:tc>
      </w:tr>
    </w:tbl>
    <w:p w:rsidR="004B25F0" w:rsidRDefault="004B25F0" w:rsidP="004B25F0">
      <w:pPr>
        <w:spacing w:before="120"/>
        <w:rPr>
          <w:sz w:val="20"/>
        </w:rPr>
      </w:pPr>
    </w:p>
    <w:p w:rsidR="004B25F0" w:rsidRPr="003372F8" w:rsidRDefault="004B25F0" w:rsidP="004B25F0">
      <w:pPr>
        <w:spacing w:before="120"/>
        <w:rPr>
          <w:b/>
          <w:sz w:val="20"/>
        </w:rPr>
      </w:pPr>
      <w:r w:rsidRPr="003372F8">
        <w:rPr>
          <w:b/>
          <w:sz w:val="20"/>
        </w:rPr>
        <w:t xml:space="preserve">Note: Incomprehensible and missing responses will result in a score of 0. </w:t>
      </w:r>
    </w:p>
    <w:p w:rsidR="004B25F0" w:rsidRPr="003372F8" w:rsidRDefault="004B25F0" w:rsidP="004B25F0">
      <w:pPr>
        <w:spacing w:before="120"/>
        <w:rPr>
          <w:b/>
          <w:sz w:val="20"/>
        </w:rPr>
      </w:pPr>
      <w:r w:rsidRPr="003372F8">
        <w:rPr>
          <w:b/>
          <w:sz w:val="20"/>
        </w:rPr>
        <w:t>In order to receive credit for student teaching</w:t>
      </w:r>
      <w:r w:rsidR="00082448">
        <w:rPr>
          <w:b/>
          <w:sz w:val="20"/>
        </w:rPr>
        <w:t xml:space="preserve"> and impact portfolio</w:t>
      </w:r>
      <w:r w:rsidRPr="003372F8">
        <w:rPr>
          <w:b/>
          <w:sz w:val="20"/>
        </w:rPr>
        <w:t xml:space="preserve">, candidates must receive a score of 2 or 3 in each category of this rubric. </w:t>
      </w:r>
    </w:p>
    <w:p w:rsidR="004B25F0" w:rsidRDefault="004B25F0" w:rsidP="004B25F0">
      <w:pPr>
        <w:rPr>
          <w:b/>
          <w:sz w:val="22"/>
          <w:szCs w:val="22"/>
        </w:rPr>
      </w:pPr>
    </w:p>
    <w:p w:rsidR="004472E3" w:rsidRDefault="004472E3" w:rsidP="004472E3">
      <w:pPr>
        <w:rPr>
          <w:b/>
          <w:sz w:val="22"/>
          <w:szCs w:val="22"/>
        </w:rPr>
      </w:pPr>
    </w:p>
    <w:p w:rsidR="00D56301" w:rsidRDefault="00D56301">
      <w:pPr>
        <w:spacing w:after="200" w:line="276" w:lineRule="auto"/>
      </w:pPr>
    </w:p>
    <w:sectPr w:rsidR="00D56301" w:rsidSect="00E758B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FF8" w:rsidRDefault="00D56FF8" w:rsidP="003C2477">
      <w:r>
        <w:separator/>
      </w:r>
    </w:p>
  </w:endnote>
  <w:endnote w:type="continuationSeparator" w:id="0">
    <w:p w:rsidR="00D56FF8" w:rsidRDefault="00D56FF8" w:rsidP="003C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FF8" w:rsidRDefault="00D56FF8" w:rsidP="003C2477">
      <w:r>
        <w:separator/>
      </w:r>
    </w:p>
  </w:footnote>
  <w:footnote w:type="continuationSeparator" w:id="0">
    <w:p w:rsidR="00D56FF8" w:rsidRDefault="00D56FF8" w:rsidP="003C2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F2C" w:rsidRPr="00FF042D" w:rsidRDefault="00326F2C" w:rsidP="003C2477">
    <w:pPr>
      <w:pStyle w:val="Header"/>
      <w:rPr>
        <w:rFonts w:asciiTheme="minorHAnsi" w:hAnsiTheme="minorHAnsi"/>
        <w:i/>
        <w:sz w:val="20"/>
      </w:rPr>
    </w:pPr>
  </w:p>
  <w:p w:rsidR="00326F2C" w:rsidRDefault="00326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3446"/>
    <w:multiLevelType w:val="hybridMultilevel"/>
    <w:tmpl w:val="564AB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7059D"/>
    <w:multiLevelType w:val="singleLevel"/>
    <w:tmpl w:val="EEEC873C"/>
    <w:lvl w:ilvl="0">
      <w:start w:val="6"/>
      <w:numFmt w:val="decimal"/>
      <w:lvlText w:val="%1"/>
      <w:lvlJc w:val="left"/>
      <w:pPr>
        <w:tabs>
          <w:tab w:val="num" w:pos="720"/>
        </w:tabs>
        <w:ind w:left="720" w:hanging="360"/>
      </w:pPr>
      <w:rPr>
        <w:rFonts w:hint="default"/>
      </w:rPr>
    </w:lvl>
  </w:abstractNum>
  <w:abstractNum w:abstractNumId="2" w15:restartNumberingAfterBreak="0">
    <w:nsid w:val="14164F9D"/>
    <w:multiLevelType w:val="hybridMultilevel"/>
    <w:tmpl w:val="25A46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339CB"/>
    <w:multiLevelType w:val="hybridMultilevel"/>
    <w:tmpl w:val="E04E937C"/>
    <w:lvl w:ilvl="0" w:tplc="6A2C7E04">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F97188"/>
    <w:multiLevelType w:val="hybridMultilevel"/>
    <w:tmpl w:val="BFB0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A2EE3"/>
    <w:multiLevelType w:val="hybridMultilevel"/>
    <w:tmpl w:val="91C84D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46682"/>
    <w:multiLevelType w:val="hybridMultilevel"/>
    <w:tmpl w:val="C7B88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A440E"/>
    <w:multiLevelType w:val="hybridMultilevel"/>
    <w:tmpl w:val="D1401C10"/>
    <w:lvl w:ilvl="0" w:tplc="166C8F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B40F8"/>
    <w:multiLevelType w:val="hybridMultilevel"/>
    <w:tmpl w:val="9FEE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F7D5D"/>
    <w:multiLevelType w:val="hybridMultilevel"/>
    <w:tmpl w:val="1176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073A0"/>
    <w:multiLevelType w:val="hybridMultilevel"/>
    <w:tmpl w:val="21F2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A2783"/>
    <w:multiLevelType w:val="hybridMultilevel"/>
    <w:tmpl w:val="D852661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3030915"/>
    <w:multiLevelType w:val="multilevel"/>
    <w:tmpl w:val="1DB2B39E"/>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433273F"/>
    <w:multiLevelType w:val="hybridMultilevel"/>
    <w:tmpl w:val="E8B03FB4"/>
    <w:lvl w:ilvl="0" w:tplc="0650A0C6">
      <w:start w:val="1"/>
      <w:numFmt w:val="decimal"/>
      <w:lvlText w:val="%1."/>
      <w:lvlJc w:val="left"/>
      <w:pPr>
        <w:tabs>
          <w:tab w:val="num" w:pos="720"/>
        </w:tabs>
        <w:ind w:left="720" w:hanging="360"/>
      </w:pPr>
      <w:rPr>
        <w:rFonts w:hint="default"/>
      </w:rPr>
    </w:lvl>
    <w:lvl w:ilvl="1" w:tplc="557260E0" w:tentative="1">
      <w:start w:val="1"/>
      <w:numFmt w:val="lowerLetter"/>
      <w:lvlText w:val="%2."/>
      <w:lvlJc w:val="left"/>
      <w:pPr>
        <w:tabs>
          <w:tab w:val="num" w:pos="1440"/>
        </w:tabs>
        <w:ind w:left="1440" w:hanging="360"/>
      </w:pPr>
    </w:lvl>
    <w:lvl w:ilvl="2" w:tplc="DD02250C" w:tentative="1">
      <w:start w:val="1"/>
      <w:numFmt w:val="lowerRoman"/>
      <w:lvlText w:val="%3."/>
      <w:lvlJc w:val="right"/>
      <w:pPr>
        <w:tabs>
          <w:tab w:val="num" w:pos="2160"/>
        </w:tabs>
        <w:ind w:left="2160" w:hanging="180"/>
      </w:pPr>
    </w:lvl>
    <w:lvl w:ilvl="3" w:tplc="A0682DEC" w:tentative="1">
      <w:start w:val="1"/>
      <w:numFmt w:val="decimal"/>
      <w:lvlText w:val="%4."/>
      <w:lvlJc w:val="left"/>
      <w:pPr>
        <w:tabs>
          <w:tab w:val="num" w:pos="2880"/>
        </w:tabs>
        <w:ind w:left="2880" w:hanging="360"/>
      </w:pPr>
    </w:lvl>
    <w:lvl w:ilvl="4" w:tplc="115EA58E" w:tentative="1">
      <w:start w:val="1"/>
      <w:numFmt w:val="lowerLetter"/>
      <w:lvlText w:val="%5."/>
      <w:lvlJc w:val="left"/>
      <w:pPr>
        <w:tabs>
          <w:tab w:val="num" w:pos="3600"/>
        </w:tabs>
        <w:ind w:left="3600" w:hanging="360"/>
      </w:pPr>
    </w:lvl>
    <w:lvl w:ilvl="5" w:tplc="EA5A0826" w:tentative="1">
      <w:start w:val="1"/>
      <w:numFmt w:val="lowerRoman"/>
      <w:lvlText w:val="%6."/>
      <w:lvlJc w:val="right"/>
      <w:pPr>
        <w:tabs>
          <w:tab w:val="num" w:pos="4320"/>
        </w:tabs>
        <w:ind w:left="4320" w:hanging="180"/>
      </w:pPr>
    </w:lvl>
    <w:lvl w:ilvl="6" w:tplc="F3081410" w:tentative="1">
      <w:start w:val="1"/>
      <w:numFmt w:val="decimal"/>
      <w:lvlText w:val="%7."/>
      <w:lvlJc w:val="left"/>
      <w:pPr>
        <w:tabs>
          <w:tab w:val="num" w:pos="5040"/>
        </w:tabs>
        <w:ind w:left="5040" w:hanging="360"/>
      </w:pPr>
    </w:lvl>
    <w:lvl w:ilvl="7" w:tplc="F5EE74F0" w:tentative="1">
      <w:start w:val="1"/>
      <w:numFmt w:val="lowerLetter"/>
      <w:lvlText w:val="%8."/>
      <w:lvlJc w:val="left"/>
      <w:pPr>
        <w:tabs>
          <w:tab w:val="num" w:pos="5760"/>
        </w:tabs>
        <w:ind w:left="5760" w:hanging="360"/>
      </w:pPr>
    </w:lvl>
    <w:lvl w:ilvl="8" w:tplc="999C7392" w:tentative="1">
      <w:start w:val="1"/>
      <w:numFmt w:val="lowerRoman"/>
      <w:lvlText w:val="%9."/>
      <w:lvlJc w:val="right"/>
      <w:pPr>
        <w:tabs>
          <w:tab w:val="num" w:pos="6480"/>
        </w:tabs>
        <w:ind w:left="6480" w:hanging="180"/>
      </w:pPr>
    </w:lvl>
  </w:abstractNum>
  <w:abstractNum w:abstractNumId="14" w15:restartNumberingAfterBreak="0">
    <w:nsid w:val="4F4C5C32"/>
    <w:multiLevelType w:val="hybridMultilevel"/>
    <w:tmpl w:val="676E4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E7991"/>
    <w:multiLevelType w:val="hybridMultilevel"/>
    <w:tmpl w:val="7F80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231F0"/>
    <w:multiLevelType w:val="hybridMultilevel"/>
    <w:tmpl w:val="25D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B16A0"/>
    <w:multiLevelType w:val="hybridMultilevel"/>
    <w:tmpl w:val="7B527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47FC0"/>
    <w:multiLevelType w:val="hybridMultilevel"/>
    <w:tmpl w:val="5FEE8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E76FB"/>
    <w:multiLevelType w:val="hybridMultilevel"/>
    <w:tmpl w:val="8AF67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C2894"/>
    <w:multiLevelType w:val="hybridMultilevel"/>
    <w:tmpl w:val="C068C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B6696"/>
    <w:multiLevelType w:val="hybridMultilevel"/>
    <w:tmpl w:val="AABC8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F2A44"/>
    <w:multiLevelType w:val="hybridMultilevel"/>
    <w:tmpl w:val="E604A49E"/>
    <w:lvl w:ilvl="0" w:tplc="04090001">
      <w:start w:val="1"/>
      <w:numFmt w:val="bullet"/>
      <w:lvlText w:val=""/>
      <w:lvlJc w:val="left"/>
      <w:pPr>
        <w:ind w:left="720" w:hanging="360"/>
      </w:pPr>
      <w:rPr>
        <w:rFonts w:ascii="Symbol" w:hAnsi="Symbol" w:hint="default"/>
      </w:rPr>
    </w:lvl>
    <w:lvl w:ilvl="1" w:tplc="6A2C7E04">
      <w:start w:val="1"/>
      <w:numFmt w:val="lowerLetter"/>
      <w:lvlText w:val="%2."/>
      <w:lvlJc w:val="left"/>
      <w:pPr>
        <w:ind w:left="1440" w:hanging="360"/>
      </w:pPr>
      <w:rPr>
        <w:rFonts w:hint="default"/>
        <w:b w:val="0"/>
      </w:rPr>
    </w:lvl>
    <w:lvl w:ilvl="2" w:tplc="04090003">
      <w:start w:val="1"/>
      <w:numFmt w:val="bullet"/>
      <w:lvlText w:val="o"/>
      <w:lvlJc w:val="left"/>
      <w:pPr>
        <w:ind w:left="297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AE3FB1"/>
    <w:multiLevelType w:val="hybridMultilevel"/>
    <w:tmpl w:val="66C05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0"/>
  </w:num>
  <w:num w:numId="4">
    <w:abstractNumId w:val="18"/>
  </w:num>
  <w:num w:numId="5">
    <w:abstractNumId w:val="6"/>
  </w:num>
  <w:num w:numId="6">
    <w:abstractNumId w:val="14"/>
  </w:num>
  <w:num w:numId="7">
    <w:abstractNumId w:val="0"/>
  </w:num>
  <w:num w:numId="8">
    <w:abstractNumId w:val="17"/>
  </w:num>
  <w:num w:numId="9">
    <w:abstractNumId w:val="20"/>
  </w:num>
  <w:num w:numId="10">
    <w:abstractNumId w:val="19"/>
  </w:num>
  <w:num w:numId="11">
    <w:abstractNumId w:val="23"/>
  </w:num>
  <w:num w:numId="12">
    <w:abstractNumId w:val="21"/>
  </w:num>
  <w:num w:numId="13">
    <w:abstractNumId w:val="11"/>
  </w:num>
  <w:num w:numId="14">
    <w:abstractNumId w:val="22"/>
    <w:lvlOverride w:ilvl="0">
      <w:lvl w:ilvl="0" w:tplc="04090001">
        <w:start w:val="1"/>
        <w:numFmt w:val="lowerLetter"/>
        <w:lvlText w:val="%1."/>
        <w:lvlJc w:val="left"/>
        <w:pPr>
          <w:ind w:left="1440" w:hanging="360"/>
        </w:pPr>
        <w:rPr>
          <w:rFonts w:hint="default"/>
        </w:rPr>
      </w:lvl>
    </w:lvlOverride>
    <w:lvlOverride w:ilvl="1">
      <w:lvl w:ilvl="1" w:tplc="6A2C7E04">
        <w:start w:val="1"/>
        <w:numFmt w:val="lowerLetter"/>
        <w:lvlText w:val="%2."/>
        <w:lvlJc w:val="left"/>
        <w:pPr>
          <w:ind w:left="1440" w:hanging="360"/>
        </w:pPr>
      </w:lvl>
    </w:lvlOverride>
    <w:lvlOverride w:ilvl="2">
      <w:lvl w:ilvl="2" w:tplc="04090003"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3"/>
  </w:num>
  <w:num w:numId="16">
    <w:abstractNumId w:val="7"/>
  </w:num>
  <w:num w:numId="17">
    <w:abstractNumId w:val="16"/>
  </w:num>
  <w:num w:numId="18">
    <w:abstractNumId w:val="8"/>
  </w:num>
  <w:num w:numId="19">
    <w:abstractNumId w:val="9"/>
  </w:num>
  <w:num w:numId="20">
    <w:abstractNumId w:val="13"/>
  </w:num>
  <w:num w:numId="21">
    <w:abstractNumId w:val="1"/>
  </w:num>
  <w:num w:numId="22">
    <w:abstractNumId w:val="12"/>
  </w:num>
  <w:num w:numId="23">
    <w:abstractNumId w:val="4"/>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AD"/>
    <w:rsid w:val="00010B9C"/>
    <w:rsid w:val="0003574A"/>
    <w:rsid w:val="00046ABF"/>
    <w:rsid w:val="00052436"/>
    <w:rsid w:val="00061175"/>
    <w:rsid w:val="000700D8"/>
    <w:rsid w:val="00082448"/>
    <w:rsid w:val="000A5AC5"/>
    <w:rsid w:val="000B49BA"/>
    <w:rsid w:val="000E4EA9"/>
    <w:rsid w:val="001155B5"/>
    <w:rsid w:val="00123B3A"/>
    <w:rsid w:val="00126977"/>
    <w:rsid w:val="0013287B"/>
    <w:rsid w:val="001350F8"/>
    <w:rsid w:val="00150D54"/>
    <w:rsid w:val="001600D6"/>
    <w:rsid w:val="00183CAB"/>
    <w:rsid w:val="00190BB9"/>
    <w:rsid w:val="001B0D13"/>
    <w:rsid w:val="001C22C4"/>
    <w:rsid w:val="001D0DB1"/>
    <w:rsid w:val="001E06CE"/>
    <w:rsid w:val="001E3412"/>
    <w:rsid w:val="001E5629"/>
    <w:rsid w:val="001F3890"/>
    <w:rsid w:val="001F7366"/>
    <w:rsid w:val="002113CD"/>
    <w:rsid w:val="002374FB"/>
    <w:rsid w:val="002437C8"/>
    <w:rsid w:val="00257D9D"/>
    <w:rsid w:val="00295633"/>
    <w:rsid w:val="00295A5E"/>
    <w:rsid w:val="002A3AE0"/>
    <w:rsid w:val="002B05EB"/>
    <w:rsid w:val="002B3835"/>
    <w:rsid w:val="002E5A07"/>
    <w:rsid w:val="002F74FB"/>
    <w:rsid w:val="00300A2C"/>
    <w:rsid w:val="00326F2C"/>
    <w:rsid w:val="00332EC7"/>
    <w:rsid w:val="00347101"/>
    <w:rsid w:val="00352BF5"/>
    <w:rsid w:val="00372D76"/>
    <w:rsid w:val="00376796"/>
    <w:rsid w:val="003C2477"/>
    <w:rsid w:val="003C6BC2"/>
    <w:rsid w:val="003D684F"/>
    <w:rsid w:val="003F14D1"/>
    <w:rsid w:val="0041512B"/>
    <w:rsid w:val="004323A2"/>
    <w:rsid w:val="00437DFD"/>
    <w:rsid w:val="00442F6C"/>
    <w:rsid w:val="00445065"/>
    <w:rsid w:val="00446BF5"/>
    <w:rsid w:val="004472E3"/>
    <w:rsid w:val="004538EA"/>
    <w:rsid w:val="00456D14"/>
    <w:rsid w:val="004979F6"/>
    <w:rsid w:val="004A19AD"/>
    <w:rsid w:val="004B25F0"/>
    <w:rsid w:val="004B39AF"/>
    <w:rsid w:val="004C0573"/>
    <w:rsid w:val="004C455C"/>
    <w:rsid w:val="004D1588"/>
    <w:rsid w:val="004D4846"/>
    <w:rsid w:val="004D623A"/>
    <w:rsid w:val="004D79A5"/>
    <w:rsid w:val="004E2319"/>
    <w:rsid w:val="005443D0"/>
    <w:rsid w:val="00562607"/>
    <w:rsid w:val="0056585E"/>
    <w:rsid w:val="00577D25"/>
    <w:rsid w:val="00580F68"/>
    <w:rsid w:val="00583A4F"/>
    <w:rsid w:val="005A6EE0"/>
    <w:rsid w:val="005B02BD"/>
    <w:rsid w:val="005C5D43"/>
    <w:rsid w:val="005F54D0"/>
    <w:rsid w:val="00604248"/>
    <w:rsid w:val="00650BE9"/>
    <w:rsid w:val="00654E15"/>
    <w:rsid w:val="006552F5"/>
    <w:rsid w:val="00657155"/>
    <w:rsid w:val="00661A47"/>
    <w:rsid w:val="00671B0E"/>
    <w:rsid w:val="00673236"/>
    <w:rsid w:val="006737B2"/>
    <w:rsid w:val="00685661"/>
    <w:rsid w:val="00691935"/>
    <w:rsid w:val="006A6580"/>
    <w:rsid w:val="006E401A"/>
    <w:rsid w:val="006E6DE0"/>
    <w:rsid w:val="006F5D6A"/>
    <w:rsid w:val="007061A8"/>
    <w:rsid w:val="00721F84"/>
    <w:rsid w:val="00752173"/>
    <w:rsid w:val="00756DA9"/>
    <w:rsid w:val="00773DDE"/>
    <w:rsid w:val="00776085"/>
    <w:rsid w:val="00776E5B"/>
    <w:rsid w:val="007C474D"/>
    <w:rsid w:val="007C56B4"/>
    <w:rsid w:val="007D2797"/>
    <w:rsid w:val="00810D14"/>
    <w:rsid w:val="00812EF8"/>
    <w:rsid w:val="0081442E"/>
    <w:rsid w:val="00831EA3"/>
    <w:rsid w:val="00844481"/>
    <w:rsid w:val="00847D7D"/>
    <w:rsid w:val="008538B7"/>
    <w:rsid w:val="00867C16"/>
    <w:rsid w:val="008833C2"/>
    <w:rsid w:val="00893368"/>
    <w:rsid w:val="00895105"/>
    <w:rsid w:val="008A3537"/>
    <w:rsid w:val="008A788B"/>
    <w:rsid w:val="008B36CA"/>
    <w:rsid w:val="008C0681"/>
    <w:rsid w:val="008C2490"/>
    <w:rsid w:val="008C33F3"/>
    <w:rsid w:val="008D3501"/>
    <w:rsid w:val="008E16BE"/>
    <w:rsid w:val="0090491B"/>
    <w:rsid w:val="00904F1E"/>
    <w:rsid w:val="00911393"/>
    <w:rsid w:val="00920EC2"/>
    <w:rsid w:val="00932159"/>
    <w:rsid w:val="00942F1F"/>
    <w:rsid w:val="009B4AAE"/>
    <w:rsid w:val="009D1207"/>
    <w:rsid w:val="009D2846"/>
    <w:rsid w:val="009E1717"/>
    <w:rsid w:val="00A1296E"/>
    <w:rsid w:val="00A2110C"/>
    <w:rsid w:val="00A422A8"/>
    <w:rsid w:val="00A557E1"/>
    <w:rsid w:val="00A66321"/>
    <w:rsid w:val="00A73092"/>
    <w:rsid w:val="00A73CDF"/>
    <w:rsid w:val="00A74111"/>
    <w:rsid w:val="00A74BA5"/>
    <w:rsid w:val="00A909DA"/>
    <w:rsid w:val="00A94D32"/>
    <w:rsid w:val="00AA50E3"/>
    <w:rsid w:val="00AC2C2D"/>
    <w:rsid w:val="00AC7E26"/>
    <w:rsid w:val="00AD2E0C"/>
    <w:rsid w:val="00AE1649"/>
    <w:rsid w:val="00AE4B63"/>
    <w:rsid w:val="00AF7820"/>
    <w:rsid w:val="00B0246C"/>
    <w:rsid w:val="00B13313"/>
    <w:rsid w:val="00B23166"/>
    <w:rsid w:val="00B26784"/>
    <w:rsid w:val="00B53F71"/>
    <w:rsid w:val="00B62E8A"/>
    <w:rsid w:val="00B829FA"/>
    <w:rsid w:val="00BA1539"/>
    <w:rsid w:val="00BA7CAD"/>
    <w:rsid w:val="00BC61BB"/>
    <w:rsid w:val="00BF369D"/>
    <w:rsid w:val="00C003FC"/>
    <w:rsid w:val="00C442BA"/>
    <w:rsid w:val="00C56ED0"/>
    <w:rsid w:val="00C7194F"/>
    <w:rsid w:val="00C72A25"/>
    <w:rsid w:val="00C8183C"/>
    <w:rsid w:val="00C95719"/>
    <w:rsid w:val="00C966B1"/>
    <w:rsid w:val="00CA4B22"/>
    <w:rsid w:val="00CB2B99"/>
    <w:rsid w:val="00CC3AA9"/>
    <w:rsid w:val="00CC5009"/>
    <w:rsid w:val="00CD0603"/>
    <w:rsid w:val="00CF4C12"/>
    <w:rsid w:val="00CF539F"/>
    <w:rsid w:val="00D23393"/>
    <w:rsid w:val="00D35504"/>
    <w:rsid w:val="00D40FC7"/>
    <w:rsid w:val="00D450BE"/>
    <w:rsid w:val="00D50F7A"/>
    <w:rsid w:val="00D54CFE"/>
    <w:rsid w:val="00D55E95"/>
    <w:rsid w:val="00D56301"/>
    <w:rsid w:val="00D56FF8"/>
    <w:rsid w:val="00D570C1"/>
    <w:rsid w:val="00D7447B"/>
    <w:rsid w:val="00D80C8F"/>
    <w:rsid w:val="00D91F3F"/>
    <w:rsid w:val="00D92F31"/>
    <w:rsid w:val="00D94A49"/>
    <w:rsid w:val="00DA6800"/>
    <w:rsid w:val="00DC5A0B"/>
    <w:rsid w:val="00DE1C33"/>
    <w:rsid w:val="00DE4CB4"/>
    <w:rsid w:val="00DE598B"/>
    <w:rsid w:val="00DF3F82"/>
    <w:rsid w:val="00DF40DA"/>
    <w:rsid w:val="00DF7D72"/>
    <w:rsid w:val="00E30BEF"/>
    <w:rsid w:val="00E424C7"/>
    <w:rsid w:val="00E56EAA"/>
    <w:rsid w:val="00E758B4"/>
    <w:rsid w:val="00E8706F"/>
    <w:rsid w:val="00E971A6"/>
    <w:rsid w:val="00ED2B27"/>
    <w:rsid w:val="00ED3421"/>
    <w:rsid w:val="00ED60EF"/>
    <w:rsid w:val="00EF2DB5"/>
    <w:rsid w:val="00F02E27"/>
    <w:rsid w:val="00F0538C"/>
    <w:rsid w:val="00F42DB4"/>
    <w:rsid w:val="00F42ECD"/>
    <w:rsid w:val="00F81CBC"/>
    <w:rsid w:val="00F83776"/>
    <w:rsid w:val="00FA02DB"/>
    <w:rsid w:val="00FA207C"/>
    <w:rsid w:val="00FA3FF4"/>
    <w:rsid w:val="00FA52D2"/>
    <w:rsid w:val="00FA7446"/>
    <w:rsid w:val="00FB542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6AAB84-82C0-41DD-A1FE-2C49ACFC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pacing"/>
    <w:qFormat/>
    <w:rsid w:val="004A19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58B4"/>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607"/>
    <w:pPr>
      <w:spacing w:after="0" w:line="240" w:lineRule="auto"/>
    </w:pPr>
  </w:style>
  <w:style w:type="character" w:styleId="Hyperlink">
    <w:name w:val="Hyperlink"/>
    <w:basedOn w:val="DefaultParagraphFont"/>
    <w:rsid w:val="004A19AD"/>
    <w:rPr>
      <w:color w:val="0000FF"/>
      <w:u w:val="single"/>
    </w:rPr>
  </w:style>
  <w:style w:type="table" w:styleId="TableGrid">
    <w:name w:val="Table Grid"/>
    <w:basedOn w:val="TableNormal"/>
    <w:uiPriority w:val="59"/>
    <w:rsid w:val="0003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91935"/>
    <w:pPr>
      <w:ind w:left="360" w:hanging="270"/>
    </w:pPr>
    <w:rPr>
      <w:sz w:val="20"/>
      <w:szCs w:val="20"/>
    </w:rPr>
  </w:style>
  <w:style w:type="character" w:customStyle="1" w:styleId="BodyTextIndentChar">
    <w:name w:val="Body Text Indent Char"/>
    <w:basedOn w:val="DefaultParagraphFont"/>
    <w:link w:val="BodyTextIndent"/>
    <w:uiPriority w:val="99"/>
    <w:rsid w:val="00691935"/>
    <w:rPr>
      <w:rFonts w:ascii="Times New Roman" w:eastAsia="Times New Roman" w:hAnsi="Times New Roman" w:cs="Times New Roman"/>
      <w:sz w:val="20"/>
      <w:szCs w:val="20"/>
    </w:rPr>
  </w:style>
  <w:style w:type="paragraph" w:styleId="NormalWeb">
    <w:name w:val="Normal (Web)"/>
    <w:basedOn w:val="Normal"/>
    <w:uiPriority w:val="99"/>
    <w:unhideWhenUsed/>
    <w:rsid w:val="002374FB"/>
  </w:style>
  <w:style w:type="paragraph" w:styleId="PlainText">
    <w:name w:val="Plain Text"/>
    <w:basedOn w:val="Normal"/>
    <w:link w:val="PlainTextChar"/>
    <w:uiPriority w:val="99"/>
    <w:unhideWhenUsed/>
    <w:rsid w:val="00685661"/>
    <w:rPr>
      <w:rFonts w:ascii="Calibri" w:hAnsi="Calibri" w:cs="Consolas"/>
      <w:sz w:val="22"/>
      <w:szCs w:val="21"/>
    </w:rPr>
  </w:style>
  <w:style w:type="character" w:customStyle="1" w:styleId="PlainTextChar">
    <w:name w:val="Plain Text Char"/>
    <w:basedOn w:val="DefaultParagraphFont"/>
    <w:link w:val="PlainText"/>
    <w:uiPriority w:val="99"/>
    <w:rsid w:val="00685661"/>
    <w:rPr>
      <w:rFonts w:ascii="Calibri" w:eastAsia="Times New Roman" w:hAnsi="Calibri" w:cs="Consolas"/>
      <w:szCs w:val="21"/>
    </w:rPr>
  </w:style>
  <w:style w:type="character" w:styleId="FollowedHyperlink">
    <w:name w:val="FollowedHyperlink"/>
    <w:basedOn w:val="DefaultParagraphFont"/>
    <w:uiPriority w:val="99"/>
    <w:semiHidden/>
    <w:unhideWhenUsed/>
    <w:rsid w:val="00756DA9"/>
    <w:rPr>
      <w:color w:val="800080" w:themeColor="followedHyperlink"/>
      <w:u w:val="single"/>
    </w:rPr>
  </w:style>
  <w:style w:type="paragraph" w:styleId="BalloonText">
    <w:name w:val="Balloon Text"/>
    <w:basedOn w:val="Normal"/>
    <w:link w:val="BalloonTextChar"/>
    <w:uiPriority w:val="99"/>
    <w:semiHidden/>
    <w:unhideWhenUsed/>
    <w:rsid w:val="001C22C4"/>
    <w:rPr>
      <w:rFonts w:ascii="Tahoma" w:hAnsi="Tahoma" w:cs="Tahoma"/>
      <w:sz w:val="16"/>
      <w:szCs w:val="16"/>
    </w:rPr>
  </w:style>
  <w:style w:type="character" w:customStyle="1" w:styleId="BalloonTextChar">
    <w:name w:val="Balloon Text Char"/>
    <w:basedOn w:val="DefaultParagraphFont"/>
    <w:link w:val="BalloonText"/>
    <w:uiPriority w:val="99"/>
    <w:semiHidden/>
    <w:rsid w:val="001C22C4"/>
    <w:rPr>
      <w:rFonts w:ascii="Tahoma" w:eastAsia="Times New Roman" w:hAnsi="Tahoma" w:cs="Tahoma"/>
      <w:sz w:val="16"/>
      <w:szCs w:val="16"/>
    </w:rPr>
  </w:style>
  <w:style w:type="paragraph" w:styleId="Header">
    <w:name w:val="header"/>
    <w:basedOn w:val="Normal"/>
    <w:link w:val="HeaderChar"/>
    <w:uiPriority w:val="99"/>
    <w:unhideWhenUsed/>
    <w:rsid w:val="003C2477"/>
    <w:pPr>
      <w:tabs>
        <w:tab w:val="center" w:pos="4680"/>
        <w:tab w:val="right" w:pos="9360"/>
      </w:tabs>
    </w:pPr>
  </w:style>
  <w:style w:type="character" w:customStyle="1" w:styleId="HeaderChar">
    <w:name w:val="Header Char"/>
    <w:basedOn w:val="DefaultParagraphFont"/>
    <w:link w:val="Header"/>
    <w:uiPriority w:val="99"/>
    <w:rsid w:val="003C24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477"/>
    <w:pPr>
      <w:tabs>
        <w:tab w:val="center" w:pos="4680"/>
        <w:tab w:val="right" w:pos="9360"/>
      </w:tabs>
    </w:pPr>
  </w:style>
  <w:style w:type="character" w:customStyle="1" w:styleId="FooterChar">
    <w:name w:val="Footer Char"/>
    <w:basedOn w:val="DefaultParagraphFont"/>
    <w:link w:val="Footer"/>
    <w:uiPriority w:val="99"/>
    <w:rsid w:val="003C2477"/>
    <w:rPr>
      <w:rFonts w:ascii="Times New Roman" w:eastAsia="Times New Roman" w:hAnsi="Times New Roman" w:cs="Times New Roman"/>
      <w:sz w:val="24"/>
      <w:szCs w:val="24"/>
    </w:rPr>
  </w:style>
  <w:style w:type="character" w:styleId="Emphasis">
    <w:name w:val="Emphasis"/>
    <w:basedOn w:val="DefaultParagraphFont"/>
    <w:uiPriority w:val="20"/>
    <w:qFormat/>
    <w:rsid w:val="00D91F3F"/>
    <w:rPr>
      <w:i/>
      <w:iCs/>
    </w:rPr>
  </w:style>
  <w:style w:type="character" w:styleId="CommentReference">
    <w:name w:val="annotation reference"/>
    <w:basedOn w:val="DefaultParagraphFont"/>
    <w:uiPriority w:val="99"/>
    <w:semiHidden/>
    <w:unhideWhenUsed/>
    <w:rsid w:val="009D2846"/>
    <w:rPr>
      <w:sz w:val="16"/>
      <w:szCs w:val="16"/>
    </w:rPr>
  </w:style>
  <w:style w:type="paragraph" w:styleId="CommentText">
    <w:name w:val="annotation text"/>
    <w:basedOn w:val="Normal"/>
    <w:link w:val="CommentTextChar"/>
    <w:uiPriority w:val="99"/>
    <w:semiHidden/>
    <w:unhideWhenUsed/>
    <w:rsid w:val="009D2846"/>
    <w:rPr>
      <w:sz w:val="20"/>
      <w:szCs w:val="20"/>
    </w:rPr>
  </w:style>
  <w:style w:type="character" w:customStyle="1" w:styleId="CommentTextChar">
    <w:name w:val="Comment Text Char"/>
    <w:basedOn w:val="DefaultParagraphFont"/>
    <w:link w:val="CommentText"/>
    <w:uiPriority w:val="99"/>
    <w:semiHidden/>
    <w:rsid w:val="009D284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E758B4"/>
    <w:pPr>
      <w:spacing w:after="120" w:line="480" w:lineRule="auto"/>
      <w:ind w:left="360"/>
    </w:pPr>
  </w:style>
  <w:style w:type="character" w:customStyle="1" w:styleId="BodyTextIndent2Char">
    <w:name w:val="Body Text Indent 2 Char"/>
    <w:basedOn w:val="DefaultParagraphFont"/>
    <w:link w:val="BodyTextIndent2"/>
    <w:uiPriority w:val="99"/>
    <w:semiHidden/>
    <w:rsid w:val="00E758B4"/>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758B4"/>
    <w:pPr>
      <w:spacing w:after="120"/>
    </w:pPr>
  </w:style>
  <w:style w:type="character" w:customStyle="1" w:styleId="BodyTextChar">
    <w:name w:val="Body Text Char"/>
    <w:basedOn w:val="DefaultParagraphFont"/>
    <w:link w:val="BodyText"/>
    <w:uiPriority w:val="99"/>
    <w:rsid w:val="00E758B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758B4"/>
    <w:rPr>
      <w:rFonts w:ascii="Times New Roman" w:eastAsia="Times New Roman" w:hAnsi="Times New Roman" w:cs="Times New Roman"/>
      <w:b/>
      <w:sz w:val="24"/>
      <w:szCs w:val="20"/>
    </w:rPr>
  </w:style>
  <w:style w:type="paragraph" w:styleId="ListParagraph">
    <w:name w:val="List Paragraph"/>
    <w:basedOn w:val="Normal"/>
    <w:uiPriority w:val="34"/>
    <w:qFormat/>
    <w:rsid w:val="004B2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71844">
      <w:bodyDiv w:val="1"/>
      <w:marLeft w:val="0"/>
      <w:marRight w:val="0"/>
      <w:marTop w:val="0"/>
      <w:marBottom w:val="0"/>
      <w:divBdr>
        <w:top w:val="none" w:sz="0" w:space="0" w:color="auto"/>
        <w:left w:val="none" w:sz="0" w:space="0" w:color="auto"/>
        <w:bottom w:val="none" w:sz="0" w:space="0" w:color="auto"/>
        <w:right w:val="none" w:sz="0" w:space="0" w:color="auto"/>
      </w:divBdr>
    </w:div>
    <w:div w:id="18084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30F17-81DF-41BC-89F6-DFCD7D41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Fabrizi</dc:creator>
  <cp:lastModifiedBy>Swaminathan, Sudha (Education)</cp:lastModifiedBy>
  <cp:revision>2</cp:revision>
  <cp:lastPrinted>2016-01-20T20:15:00Z</cp:lastPrinted>
  <dcterms:created xsi:type="dcterms:W3CDTF">2016-11-01T18:49:00Z</dcterms:created>
  <dcterms:modified xsi:type="dcterms:W3CDTF">2016-11-01T18:49:00Z</dcterms:modified>
</cp:coreProperties>
</file>