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B673" w14:textId="77777777" w:rsidR="001632C2" w:rsidRDefault="001632C2" w:rsidP="00FC5A65">
      <w:pPr>
        <w:spacing w:before="120"/>
        <w:jc w:val="center"/>
        <w:outlineLvl w:val="0"/>
        <w:rPr>
          <w:b/>
        </w:rPr>
      </w:pPr>
      <w:r>
        <w:rPr>
          <w:b/>
        </w:rPr>
        <w:t>Appendix A: Candidate Learning Outcomes</w:t>
      </w:r>
    </w:p>
    <w:p w14:paraId="65940A1A" w14:textId="62860D54" w:rsidR="00D67460" w:rsidRPr="009558E8" w:rsidRDefault="00D67460" w:rsidP="00FC5A65">
      <w:pPr>
        <w:spacing w:before="120"/>
        <w:jc w:val="center"/>
        <w:outlineLvl w:val="0"/>
        <w:rPr>
          <w:b/>
        </w:rPr>
      </w:pPr>
      <w:bookmarkStart w:id="0" w:name="_GoBack"/>
      <w:bookmarkEnd w:id="0"/>
      <w:r w:rsidRPr="009558E8">
        <w:rPr>
          <w:b/>
        </w:rPr>
        <w:t>Eastern Connecticut State University</w:t>
      </w:r>
    </w:p>
    <w:p w14:paraId="7B546E2B" w14:textId="77777777" w:rsidR="00D67460" w:rsidRPr="009558E8" w:rsidRDefault="00D67460" w:rsidP="00D67460">
      <w:pPr>
        <w:spacing w:after="240"/>
        <w:jc w:val="center"/>
        <w:rPr>
          <w:b/>
        </w:rPr>
      </w:pPr>
      <w:r w:rsidRPr="009558E8">
        <w:rPr>
          <w:b/>
        </w:rPr>
        <w:t>Eastern Educator Preparation Programs’ (EPP) Candidate Learning Outcomes</w:t>
      </w:r>
    </w:p>
    <w:p w14:paraId="711368F2" w14:textId="77777777" w:rsidR="00D67460" w:rsidRPr="009558E8" w:rsidRDefault="00D67460" w:rsidP="00FC5A65">
      <w:pPr>
        <w:spacing w:before="240" w:after="120"/>
        <w:outlineLvl w:val="0"/>
        <w:rPr>
          <w:b/>
          <w:sz w:val="22"/>
          <w:szCs w:val="22"/>
        </w:rPr>
      </w:pPr>
      <w:r w:rsidRPr="009558E8">
        <w:rPr>
          <w:b/>
          <w:sz w:val="22"/>
          <w:szCs w:val="22"/>
        </w:rPr>
        <w:t>Domain I: Intentional Teaching</w:t>
      </w:r>
    </w:p>
    <w:p w14:paraId="10ADF98A" w14:textId="5B11C1BB" w:rsidR="00D67460" w:rsidRPr="009558E8" w:rsidRDefault="00D67460" w:rsidP="00D67460">
      <w:pPr>
        <w:rPr>
          <w:sz w:val="22"/>
          <w:szCs w:val="22"/>
        </w:rPr>
      </w:pPr>
      <w:r w:rsidRPr="009558E8">
        <w:rPr>
          <w:sz w:val="22"/>
          <w:szCs w:val="22"/>
        </w:rPr>
        <w:t xml:space="preserve">We believe that intentional teaching and its important corollary intentional learning necessitate viewing learning as the pre-determined and actively </w:t>
      </w:r>
      <w:r w:rsidR="0067150F" w:rsidRPr="009558E8">
        <w:rPr>
          <w:sz w:val="22"/>
          <w:szCs w:val="22"/>
        </w:rPr>
        <w:t xml:space="preserve">sought after goal of education. </w:t>
      </w:r>
    </w:p>
    <w:p w14:paraId="7D4ACCB7" w14:textId="77777777" w:rsidR="00D67460" w:rsidRPr="006B53F6" w:rsidRDefault="00AB615E" w:rsidP="00FC5A65">
      <w:pPr>
        <w:spacing w:before="120" w:after="120"/>
        <w:outlineLvl w:val="0"/>
        <w:rPr>
          <w:sz w:val="22"/>
          <w:szCs w:val="22"/>
        </w:rPr>
      </w:pPr>
      <w:r w:rsidRPr="006B53F6">
        <w:rPr>
          <w:sz w:val="22"/>
          <w:szCs w:val="22"/>
        </w:rPr>
        <w:t>Candidates/graduates:</w:t>
      </w:r>
    </w:p>
    <w:p w14:paraId="399C816A" w14:textId="5A9BA9B9" w:rsidR="00D67460" w:rsidRPr="009558E8" w:rsidRDefault="00AB615E" w:rsidP="00C506E2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hAnsi="Times New Roman"/>
          <w:sz w:val="22"/>
          <w:szCs w:val="22"/>
        </w:rPr>
        <w:t>D</w:t>
      </w:r>
      <w:r w:rsidR="00D67460" w:rsidRPr="009558E8">
        <w:rPr>
          <w:rFonts w:ascii="Times New Roman" w:hAnsi="Times New Roman"/>
          <w:sz w:val="22"/>
          <w:szCs w:val="22"/>
        </w:rPr>
        <w:t>emonstrate a positive and reflective disposition towards intentional planning and teaching practices that are appropriate for diverse learners.</w:t>
      </w:r>
      <w:r w:rsidR="00E62A6B" w:rsidRPr="009558E8">
        <w:rPr>
          <w:rFonts w:ascii="Times New Roman" w:hAnsi="Times New Roman"/>
          <w:sz w:val="22"/>
          <w:szCs w:val="22"/>
        </w:rPr>
        <w:t xml:space="preserve"> </w:t>
      </w:r>
      <w:r w:rsidR="0049170B" w:rsidRPr="009558E8">
        <w:rPr>
          <w:rFonts w:ascii="Times New Roman" w:hAnsi="Times New Roman"/>
          <w:b/>
          <w:bCs/>
          <w:sz w:val="22"/>
          <w:szCs w:val="22"/>
        </w:rPr>
        <w:t>*</w:t>
      </w:r>
      <w:r w:rsidR="00D67460" w:rsidRPr="009558E8">
        <w:rPr>
          <w:rFonts w:ascii="Times New Roman" w:hAnsi="Times New Roman"/>
          <w:i/>
          <w:sz w:val="22"/>
          <w:szCs w:val="22"/>
        </w:rPr>
        <w:t>CCCT 6, 2; CAEP 1, 2, Diversity; INTASC 8, 1, 2</w:t>
      </w:r>
    </w:p>
    <w:p w14:paraId="441D9FF1" w14:textId="0F01EA33" w:rsidR="00D67460" w:rsidRPr="009558E8" w:rsidRDefault="00AB615E" w:rsidP="00D67460">
      <w:pPr>
        <w:pStyle w:val="ListParagraph"/>
        <w:numPr>
          <w:ilvl w:val="0"/>
          <w:numId w:val="5"/>
        </w:numPr>
        <w:spacing w:before="240" w:after="160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hAnsi="Times New Roman"/>
          <w:sz w:val="22"/>
          <w:szCs w:val="22"/>
        </w:rPr>
        <w:t>D</w:t>
      </w:r>
      <w:r w:rsidR="00D67460" w:rsidRPr="009558E8">
        <w:rPr>
          <w:rFonts w:ascii="Times New Roman" w:eastAsia="MS Mincho" w:hAnsi="Times New Roman"/>
          <w:sz w:val="22"/>
          <w:szCs w:val="22"/>
        </w:rPr>
        <w:t>emonstrate the ability to identify discipline-specific content knowledge and skills, develop and implement evidence-based, inclusive instructional practices that engage all students and improves student achievement</w:t>
      </w:r>
      <w:r w:rsidR="0067150F" w:rsidRPr="009558E8">
        <w:rPr>
          <w:rFonts w:ascii="Times New Roman" w:eastAsia="MS Mincho" w:hAnsi="Times New Roman"/>
          <w:sz w:val="22"/>
          <w:szCs w:val="22"/>
        </w:rPr>
        <w:t xml:space="preserve"> and growth in all developmental areas</w:t>
      </w:r>
      <w:r w:rsidR="0067150F" w:rsidRPr="009558E8">
        <w:rPr>
          <w:rStyle w:val="FootnoteReference"/>
          <w:rFonts w:ascii="Times New Roman" w:eastAsia="MS Mincho" w:hAnsi="Times New Roman"/>
          <w:sz w:val="22"/>
          <w:szCs w:val="22"/>
        </w:rPr>
        <w:footnoteReference w:id="1"/>
      </w:r>
      <w:r w:rsidR="00D67460" w:rsidRPr="009558E8">
        <w:rPr>
          <w:rFonts w:ascii="Times New Roman" w:eastAsia="MS Mincho" w:hAnsi="Times New Roman"/>
          <w:sz w:val="22"/>
          <w:szCs w:val="22"/>
        </w:rPr>
        <w:t>.</w:t>
      </w:r>
      <w:r w:rsidR="00E62A6B" w:rsidRPr="009558E8">
        <w:rPr>
          <w:rFonts w:ascii="Times New Roman" w:eastAsia="MS Mincho" w:hAnsi="Times New Roman"/>
          <w:sz w:val="22"/>
          <w:szCs w:val="22"/>
        </w:rPr>
        <w:t xml:space="preserve"> </w:t>
      </w:r>
      <w:r w:rsidR="0049170B" w:rsidRPr="009558E8">
        <w:rPr>
          <w:rFonts w:ascii="Times New Roman" w:eastAsia="MS Mincho" w:hAnsi="Times New Roman"/>
          <w:sz w:val="22"/>
          <w:szCs w:val="22"/>
        </w:rPr>
        <w:t>*</w:t>
      </w:r>
      <w:r w:rsidR="00D67460" w:rsidRPr="009558E8">
        <w:rPr>
          <w:rFonts w:ascii="Times New Roman" w:eastAsia="MS Mincho" w:hAnsi="Times New Roman"/>
          <w:i/>
          <w:sz w:val="22"/>
          <w:szCs w:val="22"/>
        </w:rPr>
        <w:t>CCCT 1, 2, 3; CAEP 1, 4, Diversity; INTASC 4, 5, 2, 8</w:t>
      </w:r>
      <w:r w:rsidR="006F2009" w:rsidRPr="009558E8">
        <w:rPr>
          <w:rFonts w:ascii="Times New Roman" w:eastAsia="MS Mincho" w:hAnsi="Times New Roman"/>
          <w:i/>
          <w:sz w:val="22"/>
          <w:szCs w:val="22"/>
        </w:rPr>
        <w:t xml:space="preserve">, </w:t>
      </w:r>
      <w:r w:rsidR="00FC5A65" w:rsidRPr="009558E8">
        <w:rPr>
          <w:rFonts w:ascii="Times New Roman" w:eastAsia="MS Mincho" w:hAnsi="Times New Roman"/>
          <w:i/>
          <w:sz w:val="22"/>
          <w:szCs w:val="22"/>
          <w:vertAlign w:val="superscript"/>
        </w:rPr>
        <w:t>+</w:t>
      </w:r>
      <w:r w:rsidR="006F2009" w:rsidRPr="009558E8">
        <w:rPr>
          <w:rFonts w:ascii="Times New Roman" w:eastAsia="MS Mincho" w:hAnsi="Times New Roman"/>
          <w:i/>
          <w:sz w:val="22"/>
          <w:szCs w:val="22"/>
        </w:rPr>
        <w:t>NBPTS Proposition 2</w:t>
      </w:r>
      <w:r w:rsidR="00764F2F" w:rsidRPr="009558E8">
        <w:rPr>
          <w:rFonts w:ascii="Times New Roman" w:eastAsia="MS Mincho" w:hAnsi="Times New Roman"/>
          <w:i/>
          <w:sz w:val="22"/>
          <w:szCs w:val="22"/>
        </w:rPr>
        <w:t>;</w:t>
      </w:r>
      <w:r w:rsidR="00B03397" w:rsidRPr="009558E8">
        <w:rPr>
          <w:rFonts w:ascii="Times New Roman" w:eastAsia="MS Mincho" w:hAnsi="Times New Roman"/>
          <w:i/>
          <w:sz w:val="22"/>
          <w:szCs w:val="22"/>
        </w:rPr>
        <w:t xml:space="preserve"> </w:t>
      </w:r>
      <w:r w:rsidR="00B03397" w:rsidRPr="009558E8">
        <w:rPr>
          <w:rFonts w:ascii="Times New Roman" w:eastAsiaTheme="minorEastAsia" w:hAnsi="Times New Roman"/>
          <w:i/>
          <w:sz w:val="22"/>
          <w:szCs w:val="22"/>
        </w:rPr>
        <w:t>CAEP A.1.2</w:t>
      </w:r>
    </w:p>
    <w:p w14:paraId="3F8DB1A0" w14:textId="77777777" w:rsidR="00D67460" w:rsidRPr="009558E8" w:rsidRDefault="00AB615E" w:rsidP="00D67460">
      <w:pPr>
        <w:pStyle w:val="ListParagraph"/>
        <w:numPr>
          <w:ilvl w:val="0"/>
          <w:numId w:val="5"/>
        </w:numPr>
        <w:spacing w:before="240" w:after="160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eastAsia="MS Mincho" w:hAnsi="Times New Roman"/>
          <w:sz w:val="22"/>
          <w:szCs w:val="22"/>
        </w:rPr>
        <w:t>D</w:t>
      </w:r>
      <w:r w:rsidR="00D67460" w:rsidRPr="009558E8">
        <w:rPr>
          <w:rFonts w:ascii="Times New Roman" w:eastAsia="MS Mincho" w:hAnsi="Times New Roman"/>
          <w:sz w:val="22"/>
          <w:szCs w:val="22"/>
        </w:rPr>
        <w:t xml:space="preserve">evelop effective classroom environments that nurture collaborative learning and self-motivation. </w:t>
      </w:r>
      <w:r w:rsidR="00D67460" w:rsidRPr="009558E8">
        <w:rPr>
          <w:rFonts w:ascii="Times New Roman" w:eastAsia="MS Mincho" w:hAnsi="Times New Roman"/>
          <w:i/>
          <w:sz w:val="22"/>
          <w:szCs w:val="22"/>
        </w:rPr>
        <w:t>CCCT 2; CAEP 1, 4; INTASC 3, 5</w:t>
      </w:r>
    </w:p>
    <w:p w14:paraId="39E40F22" w14:textId="1FF3930F" w:rsidR="00D67460" w:rsidRPr="009558E8" w:rsidRDefault="00AB615E" w:rsidP="00D67460">
      <w:pPr>
        <w:pStyle w:val="ListParagraph"/>
        <w:numPr>
          <w:ilvl w:val="0"/>
          <w:numId w:val="5"/>
        </w:numPr>
        <w:spacing w:before="240" w:after="160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hAnsi="Times New Roman"/>
          <w:sz w:val="22"/>
          <w:szCs w:val="22"/>
        </w:rPr>
        <w:t>I</w:t>
      </w:r>
      <w:r w:rsidR="00D67460" w:rsidRPr="009558E8">
        <w:rPr>
          <w:rFonts w:ascii="Times New Roman" w:hAnsi="Times New Roman"/>
          <w:sz w:val="22"/>
          <w:szCs w:val="22"/>
        </w:rPr>
        <w:t xml:space="preserve">dentify and utilize educational technology and other digital resources to enhance the learning experience of all students and to transform their own instructional practices.  </w:t>
      </w:r>
      <w:r w:rsidR="00D67460" w:rsidRPr="009558E8">
        <w:rPr>
          <w:rFonts w:ascii="Times New Roman" w:hAnsi="Times New Roman"/>
          <w:i/>
          <w:sz w:val="22"/>
          <w:szCs w:val="22"/>
        </w:rPr>
        <w:t xml:space="preserve">CCCT 2, 1; CAEP 4, 3, 5, </w:t>
      </w:r>
      <w:r w:rsidR="00D67460" w:rsidRPr="009558E8">
        <w:rPr>
          <w:rFonts w:ascii="Times New Roman" w:hAnsi="Times New Roman"/>
          <w:sz w:val="22"/>
          <w:szCs w:val="22"/>
        </w:rPr>
        <w:t>Technology</w:t>
      </w:r>
      <w:r w:rsidR="00D67460" w:rsidRPr="009558E8">
        <w:rPr>
          <w:rFonts w:ascii="Times New Roman" w:hAnsi="Times New Roman"/>
          <w:i/>
          <w:sz w:val="22"/>
          <w:szCs w:val="22"/>
        </w:rPr>
        <w:t>; INTASC 2, 3, 9</w:t>
      </w:r>
      <w:r w:rsidR="00764F2F" w:rsidRPr="009558E8">
        <w:rPr>
          <w:rFonts w:ascii="Times New Roman" w:hAnsi="Times New Roman"/>
          <w:i/>
          <w:sz w:val="22"/>
          <w:szCs w:val="22"/>
        </w:rPr>
        <w:t>;</w:t>
      </w:r>
      <w:r w:rsidR="00E26252" w:rsidRPr="009558E8">
        <w:rPr>
          <w:rFonts w:ascii="Times New Roman" w:hAnsi="Times New Roman"/>
          <w:i/>
          <w:sz w:val="22"/>
          <w:szCs w:val="22"/>
        </w:rPr>
        <w:t xml:space="preserve"> </w:t>
      </w:r>
      <w:r w:rsidR="00E26252" w:rsidRPr="009558E8">
        <w:rPr>
          <w:rFonts w:ascii="Times New Roman" w:eastAsiaTheme="minorEastAsia" w:hAnsi="Times New Roman"/>
          <w:i/>
          <w:sz w:val="22"/>
          <w:szCs w:val="22"/>
        </w:rPr>
        <w:t>CAEP A.1.1</w:t>
      </w:r>
    </w:p>
    <w:p w14:paraId="7D25542E" w14:textId="454C3E0F" w:rsidR="006F2009" w:rsidRPr="009558E8" w:rsidRDefault="00AB615E" w:rsidP="00F07135">
      <w:pPr>
        <w:pStyle w:val="ListParagraph"/>
        <w:numPr>
          <w:ilvl w:val="0"/>
          <w:numId w:val="5"/>
        </w:numPr>
        <w:spacing w:before="240" w:after="160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hAnsi="Times New Roman"/>
          <w:sz w:val="22"/>
          <w:szCs w:val="22"/>
        </w:rPr>
        <w:t>D</w:t>
      </w:r>
      <w:r w:rsidR="00D67460" w:rsidRPr="009558E8">
        <w:rPr>
          <w:rFonts w:ascii="Times New Roman" w:hAnsi="Times New Roman"/>
          <w:sz w:val="22"/>
          <w:szCs w:val="22"/>
        </w:rPr>
        <w:t xml:space="preserve">evelop and integrate learning experiences that </w:t>
      </w:r>
      <w:r w:rsidR="0067150F" w:rsidRPr="009558E8">
        <w:rPr>
          <w:rFonts w:ascii="Times New Roman" w:hAnsi="Times New Roman"/>
          <w:sz w:val="22"/>
          <w:szCs w:val="22"/>
        </w:rPr>
        <w:t xml:space="preserve">nurture intellectual development among diverse learners </w:t>
      </w:r>
      <w:r w:rsidR="00D67460" w:rsidRPr="009558E8">
        <w:rPr>
          <w:rFonts w:ascii="Times New Roman" w:hAnsi="Times New Roman"/>
          <w:sz w:val="22"/>
          <w:szCs w:val="22"/>
        </w:rPr>
        <w:t xml:space="preserve">require students’ use of critical thinking skills, problem solving, and diverse forms of communication.  </w:t>
      </w:r>
      <w:r w:rsidR="00D67460" w:rsidRPr="009558E8">
        <w:rPr>
          <w:rFonts w:ascii="Times New Roman" w:hAnsi="Times New Roman"/>
          <w:i/>
          <w:sz w:val="22"/>
          <w:szCs w:val="22"/>
        </w:rPr>
        <w:t>CCCT 1, 2; CAEP 1; INTASC 4, 5</w:t>
      </w:r>
    </w:p>
    <w:p w14:paraId="1C1B57D5" w14:textId="77777777" w:rsidR="00D67460" w:rsidRPr="009558E8" w:rsidRDefault="00D67460" w:rsidP="00FC5A65">
      <w:pPr>
        <w:spacing w:before="120" w:after="120"/>
        <w:outlineLvl w:val="0"/>
        <w:rPr>
          <w:b/>
          <w:sz w:val="22"/>
          <w:szCs w:val="22"/>
        </w:rPr>
      </w:pPr>
      <w:r w:rsidRPr="009558E8">
        <w:rPr>
          <w:b/>
          <w:sz w:val="22"/>
          <w:szCs w:val="22"/>
        </w:rPr>
        <w:t>Domain II:  Data Literacy</w:t>
      </w:r>
    </w:p>
    <w:p w14:paraId="6005483D" w14:textId="77777777" w:rsidR="00D67460" w:rsidRPr="009558E8" w:rsidRDefault="00D67460" w:rsidP="00D67460">
      <w:pPr>
        <w:rPr>
          <w:sz w:val="22"/>
          <w:szCs w:val="22"/>
        </w:rPr>
      </w:pPr>
      <w:r w:rsidRPr="009558E8">
        <w:rPr>
          <w:sz w:val="22"/>
          <w:szCs w:val="22"/>
        </w:rPr>
        <w:t>We believe that data literacy offers a dedicated pathway towards understanding the abilities and needs of all students and offers a means to improve students’ growth and development across all curricular areas.</w:t>
      </w:r>
    </w:p>
    <w:p w14:paraId="45B13F66" w14:textId="77777777" w:rsidR="00D67460" w:rsidRPr="006B53F6" w:rsidRDefault="00AB615E" w:rsidP="00FC5A65">
      <w:pPr>
        <w:spacing w:before="120" w:after="120"/>
        <w:outlineLvl w:val="0"/>
        <w:rPr>
          <w:sz w:val="22"/>
          <w:szCs w:val="22"/>
        </w:rPr>
      </w:pPr>
      <w:r w:rsidRPr="006B53F6">
        <w:rPr>
          <w:sz w:val="22"/>
          <w:szCs w:val="22"/>
        </w:rPr>
        <w:t>Candidates/graduates:</w:t>
      </w:r>
    </w:p>
    <w:p w14:paraId="3BDA13D5" w14:textId="77777777" w:rsidR="00D67460" w:rsidRPr="009558E8" w:rsidRDefault="00AB615E" w:rsidP="00D67460">
      <w:pPr>
        <w:numPr>
          <w:ilvl w:val="0"/>
          <w:numId w:val="7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U</w:t>
      </w:r>
      <w:r w:rsidR="00D67460" w:rsidRPr="009558E8">
        <w:rPr>
          <w:rFonts w:eastAsiaTheme="minorEastAsia"/>
          <w:sz w:val="22"/>
          <w:szCs w:val="22"/>
        </w:rPr>
        <w:t xml:space="preserve">se and/or adapt/design qualitative and quantitative assessments that directly align with the learning goals of content in the discipline. </w:t>
      </w:r>
      <w:r w:rsidR="00D67460" w:rsidRPr="009558E8">
        <w:rPr>
          <w:rFonts w:eastAsiaTheme="minorEastAsia"/>
          <w:i/>
          <w:sz w:val="22"/>
          <w:szCs w:val="22"/>
        </w:rPr>
        <w:t>CCCT 5, 1; CAEP 1, 4; INTASC 6, 7</w:t>
      </w:r>
    </w:p>
    <w:p w14:paraId="38379BCF" w14:textId="77777777" w:rsidR="00D67460" w:rsidRPr="009558E8" w:rsidRDefault="00AB615E" w:rsidP="00D67460">
      <w:pPr>
        <w:numPr>
          <w:ilvl w:val="0"/>
          <w:numId w:val="7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O</w:t>
      </w:r>
      <w:r w:rsidR="00D67460" w:rsidRPr="009558E8">
        <w:rPr>
          <w:rFonts w:eastAsiaTheme="minorEastAsia"/>
          <w:sz w:val="22"/>
          <w:szCs w:val="22"/>
        </w:rPr>
        <w:t xml:space="preserve">rganize, analyze, interpret and graphically display data on student growth. </w:t>
      </w:r>
      <w:r w:rsidR="00D67460" w:rsidRPr="009558E8">
        <w:rPr>
          <w:rFonts w:eastAsiaTheme="minorEastAsia"/>
          <w:i/>
          <w:sz w:val="22"/>
          <w:szCs w:val="22"/>
        </w:rPr>
        <w:t>CCCT 5; CAEP 1, Technology; INTASC 5, 1</w:t>
      </w:r>
    </w:p>
    <w:p w14:paraId="48612E56" w14:textId="3E89282F" w:rsidR="00D67460" w:rsidRPr="009558E8" w:rsidRDefault="00AB615E" w:rsidP="00D67460">
      <w:pPr>
        <w:numPr>
          <w:ilvl w:val="0"/>
          <w:numId w:val="7"/>
        </w:numPr>
        <w:spacing w:before="120" w:after="120"/>
        <w:contextualSpacing/>
        <w:rPr>
          <w:rFonts w:eastAsiaTheme="minorEastAsia"/>
          <w:b/>
          <w:bCs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W</w:t>
      </w:r>
      <w:r w:rsidR="00D67460" w:rsidRPr="009558E8">
        <w:rPr>
          <w:rFonts w:eastAsiaTheme="minorEastAsia"/>
          <w:sz w:val="22"/>
          <w:szCs w:val="22"/>
        </w:rPr>
        <w:t xml:space="preserve">ill triangulate data from multiple sources to determine student learning and guide planning and teaching. </w:t>
      </w:r>
      <w:r w:rsidR="0011610F" w:rsidRPr="009558E8">
        <w:rPr>
          <w:rFonts w:eastAsiaTheme="minorEastAsia"/>
          <w:i/>
          <w:sz w:val="22"/>
          <w:szCs w:val="22"/>
        </w:rPr>
        <w:t>CCCT 5, 2; CAEP 4,</w:t>
      </w:r>
      <w:r w:rsidR="00D67460" w:rsidRPr="009558E8">
        <w:rPr>
          <w:rFonts w:eastAsiaTheme="minorEastAsia"/>
          <w:i/>
          <w:sz w:val="22"/>
          <w:szCs w:val="22"/>
        </w:rPr>
        <w:t xml:space="preserve"> INTASC 6, 7, 8</w:t>
      </w:r>
      <w:r w:rsidR="00764F2F" w:rsidRPr="009558E8">
        <w:rPr>
          <w:rFonts w:eastAsiaTheme="minorEastAsia"/>
          <w:i/>
          <w:sz w:val="22"/>
          <w:szCs w:val="22"/>
        </w:rPr>
        <w:t>;</w:t>
      </w:r>
      <w:r w:rsidR="005E005D" w:rsidRPr="009558E8">
        <w:rPr>
          <w:rFonts w:eastAsiaTheme="minorEastAsia"/>
          <w:i/>
          <w:sz w:val="22"/>
          <w:szCs w:val="22"/>
        </w:rPr>
        <w:t xml:space="preserve"> </w:t>
      </w:r>
      <w:r w:rsidR="00FC5A65" w:rsidRPr="009558E8">
        <w:rPr>
          <w:rFonts w:eastAsiaTheme="minorEastAsia"/>
          <w:i/>
          <w:sz w:val="22"/>
          <w:szCs w:val="22"/>
          <w:vertAlign w:val="superscript"/>
        </w:rPr>
        <w:t>+</w:t>
      </w:r>
      <w:r w:rsidR="005E005D" w:rsidRPr="009558E8">
        <w:rPr>
          <w:rFonts w:eastAsiaTheme="minorEastAsia"/>
          <w:i/>
          <w:sz w:val="22"/>
          <w:szCs w:val="22"/>
        </w:rPr>
        <w:t>NBPTS Proposition 3</w:t>
      </w:r>
    </w:p>
    <w:p w14:paraId="533B86C9" w14:textId="77777777" w:rsidR="00D67460" w:rsidRPr="009558E8" w:rsidRDefault="00AB615E" w:rsidP="00D67460">
      <w:pPr>
        <w:numPr>
          <w:ilvl w:val="0"/>
          <w:numId w:val="7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U</w:t>
      </w:r>
      <w:r w:rsidR="00D67460" w:rsidRPr="009558E8">
        <w:rPr>
          <w:rFonts w:eastAsiaTheme="minorEastAsia"/>
          <w:sz w:val="22"/>
          <w:szCs w:val="22"/>
        </w:rPr>
        <w:t xml:space="preserve">se both classroom-wide and individual student data to understand learning and development and to inform and adjust instruction. </w:t>
      </w:r>
      <w:r w:rsidR="00D67460" w:rsidRPr="009558E8">
        <w:rPr>
          <w:rFonts w:eastAsiaTheme="minorEastAsia"/>
          <w:i/>
          <w:sz w:val="22"/>
          <w:szCs w:val="22"/>
        </w:rPr>
        <w:t>CCCT 5, 2, 3, 4; CAEP 4; INTASC 7, 8</w:t>
      </w:r>
    </w:p>
    <w:p w14:paraId="2DAEBC4A" w14:textId="77777777" w:rsidR="00D67460" w:rsidRPr="009558E8" w:rsidRDefault="00AB615E" w:rsidP="00D67460">
      <w:pPr>
        <w:numPr>
          <w:ilvl w:val="0"/>
          <w:numId w:val="7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A</w:t>
      </w:r>
      <w:r w:rsidR="00D67460" w:rsidRPr="009558E8">
        <w:rPr>
          <w:rFonts w:eastAsiaTheme="minorEastAsia"/>
          <w:sz w:val="22"/>
          <w:szCs w:val="22"/>
        </w:rPr>
        <w:t xml:space="preserve">nalyze student data—including pre- and post-instruction assessments--to determine the impact of their own teaching. </w:t>
      </w:r>
      <w:r w:rsidR="00D67460" w:rsidRPr="009558E8">
        <w:rPr>
          <w:rFonts w:eastAsiaTheme="minorEastAsia"/>
          <w:i/>
          <w:sz w:val="22"/>
          <w:szCs w:val="22"/>
        </w:rPr>
        <w:t>CCCT 5; CAEP 4; INTASC 9, 1</w:t>
      </w:r>
    </w:p>
    <w:p w14:paraId="237A329C" w14:textId="77777777" w:rsidR="00D67460" w:rsidRPr="006E42D3" w:rsidRDefault="00AB615E" w:rsidP="00D67460">
      <w:pPr>
        <w:numPr>
          <w:ilvl w:val="0"/>
          <w:numId w:val="7"/>
        </w:numPr>
        <w:spacing w:before="120" w:after="120"/>
        <w:contextualSpacing/>
        <w:rPr>
          <w:rFonts w:eastAsiaTheme="minorEastAsia"/>
        </w:rPr>
      </w:pPr>
      <w:r>
        <w:rPr>
          <w:rFonts w:eastAsiaTheme="minorEastAsia"/>
        </w:rPr>
        <w:t>D</w:t>
      </w:r>
      <w:r w:rsidR="00D67460" w:rsidRPr="006E42D3">
        <w:rPr>
          <w:rFonts w:eastAsiaTheme="minorEastAsia"/>
        </w:rPr>
        <w:t>emonstrate reflective and interpersonal abilities to become an active member of a data team.</w:t>
      </w:r>
      <w:r w:rsidR="00D67460">
        <w:rPr>
          <w:rFonts w:eastAsiaTheme="minorEastAsia"/>
        </w:rPr>
        <w:t xml:space="preserve">  </w:t>
      </w:r>
      <w:r w:rsidR="00D67460">
        <w:rPr>
          <w:rFonts w:eastAsiaTheme="minorEastAsia"/>
          <w:i/>
        </w:rPr>
        <w:t>CCCT 6; CAEP 2; INTASC 9, 10</w:t>
      </w:r>
    </w:p>
    <w:p w14:paraId="21F44857" w14:textId="77777777" w:rsidR="00D67460" w:rsidRPr="005E005D" w:rsidRDefault="00AB615E" w:rsidP="00D67460">
      <w:pPr>
        <w:numPr>
          <w:ilvl w:val="0"/>
          <w:numId w:val="7"/>
        </w:numPr>
        <w:contextualSpacing/>
        <w:rPr>
          <w:rFonts w:eastAsiaTheme="minorEastAsia"/>
        </w:rPr>
      </w:pPr>
      <w:r>
        <w:rPr>
          <w:rFonts w:eastAsiaTheme="minorEastAsia"/>
        </w:rPr>
        <w:t>D</w:t>
      </w:r>
      <w:r w:rsidR="00D67460" w:rsidRPr="006E42D3">
        <w:rPr>
          <w:rFonts w:eastAsiaTheme="minorEastAsia"/>
        </w:rPr>
        <w:t xml:space="preserve">emonstrate a positive disposition toward data collection and articulate its importance in teaching and learning.  </w:t>
      </w:r>
      <w:r w:rsidR="00D67460">
        <w:rPr>
          <w:rFonts w:eastAsiaTheme="minorEastAsia"/>
          <w:i/>
        </w:rPr>
        <w:t>CCCT 6; CAEP 1, 2; INTAC 9</w:t>
      </w:r>
    </w:p>
    <w:p w14:paraId="3387F7E4" w14:textId="188E6949" w:rsidR="005E005D" w:rsidRPr="009558E8" w:rsidRDefault="00AB615E" w:rsidP="00D67460">
      <w:pPr>
        <w:numPr>
          <w:ilvl w:val="0"/>
          <w:numId w:val="7"/>
        </w:numPr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iCs/>
          <w:sz w:val="22"/>
          <w:szCs w:val="22"/>
        </w:rPr>
        <w:t>A</w:t>
      </w:r>
      <w:r w:rsidR="005E005D" w:rsidRPr="009558E8">
        <w:rPr>
          <w:rFonts w:eastAsiaTheme="minorEastAsia"/>
          <w:iCs/>
          <w:sz w:val="22"/>
          <w:szCs w:val="22"/>
        </w:rPr>
        <w:t xml:space="preserve">nalyze, conduct, and use qualitative, quantitative and/or mixed methods research </w:t>
      </w:r>
      <w:r w:rsidR="0066350E" w:rsidRPr="009558E8">
        <w:rPr>
          <w:rFonts w:eastAsiaTheme="minorEastAsia"/>
          <w:iCs/>
          <w:sz w:val="22"/>
          <w:szCs w:val="22"/>
        </w:rPr>
        <w:t xml:space="preserve">to improve </w:t>
      </w:r>
      <w:r w:rsidR="0011610F" w:rsidRPr="009558E8">
        <w:rPr>
          <w:rFonts w:eastAsiaTheme="minorEastAsia"/>
          <w:iCs/>
          <w:sz w:val="22"/>
          <w:szCs w:val="22"/>
        </w:rPr>
        <w:t>professional</w:t>
      </w:r>
      <w:r w:rsidR="0066350E" w:rsidRPr="009558E8">
        <w:rPr>
          <w:rFonts w:eastAsiaTheme="minorEastAsia"/>
          <w:iCs/>
          <w:sz w:val="22"/>
          <w:szCs w:val="22"/>
        </w:rPr>
        <w:t xml:space="preserve"> practice </w:t>
      </w:r>
      <w:r w:rsidR="00BA4C1C" w:rsidRPr="009558E8">
        <w:rPr>
          <w:rFonts w:eastAsiaTheme="minorEastAsia"/>
          <w:iCs/>
          <w:sz w:val="22"/>
          <w:szCs w:val="22"/>
        </w:rPr>
        <w:t>in a systematic way</w:t>
      </w:r>
      <w:r w:rsidR="0066350E" w:rsidRPr="009558E8">
        <w:rPr>
          <w:rFonts w:eastAsiaTheme="minorEastAsia"/>
          <w:iCs/>
          <w:sz w:val="22"/>
          <w:szCs w:val="22"/>
        </w:rPr>
        <w:t xml:space="preserve">. </w:t>
      </w:r>
      <w:r w:rsidR="00AC4295" w:rsidRPr="009558E8">
        <w:rPr>
          <w:rFonts w:eastAsiaTheme="minorEastAsia"/>
          <w:iCs/>
          <w:sz w:val="22"/>
          <w:szCs w:val="22"/>
          <w:vertAlign w:val="superscript"/>
        </w:rPr>
        <w:t>+</w:t>
      </w:r>
      <w:r w:rsidR="00764F2F" w:rsidRPr="009558E8">
        <w:rPr>
          <w:rFonts w:eastAsiaTheme="minorEastAsia"/>
          <w:i/>
          <w:sz w:val="22"/>
          <w:szCs w:val="22"/>
        </w:rPr>
        <w:t>NBPTS Proposition 4;</w:t>
      </w:r>
      <w:r w:rsidR="0066350E" w:rsidRPr="009558E8">
        <w:rPr>
          <w:rFonts w:eastAsiaTheme="minorEastAsia"/>
          <w:i/>
          <w:sz w:val="22"/>
          <w:szCs w:val="22"/>
        </w:rPr>
        <w:t xml:space="preserve"> CAEP </w:t>
      </w:r>
      <w:r w:rsidR="00B03397" w:rsidRPr="009558E8">
        <w:rPr>
          <w:rFonts w:eastAsiaTheme="minorEastAsia"/>
          <w:i/>
          <w:sz w:val="22"/>
          <w:szCs w:val="22"/>
        </w:rPr>
        <w:t>A.</w:t>
      </w:r>
      <w:r w:rsidR="0066350E" w:rsidRPr="009558E8">
        <w:rPr>
          <w:rFonts w:eastAsiaTheme="minorEastAsia"/>
          <w:i/>
          <w:sz w:val="22"/>
          <w:szCs w:val="22"/>
        </w:rPr>
        <w:t>1.1</w:t>
      </w:r>
      <w:r w:rsidR="00D55CFA" w:rsidRPr="009558E8">
        <w:rPr>
          <w:rFonts w:eastAsiaTheme="minorEastAsia"/>
          <w:iCs/>
          <w:sz w:val="22"/>
          <w:szCs w:val="22"/>
        </w:rPr>
        <w:t xml:space="preserve">, </w:t>
      </w:r>
      <w:r w:rsidR="00D55CFA" w:rsidRPr="009558E8">
        <w:rPr>
          <w:rFonts w:eastAsiaTheme="minorEastAsia"/>
          <w:i/>
          <w:sz w:val="22"/>
          <w:szCs w:val="22"/>
        </w:rPr>
        <w:t>A.2.2</w:t>
      </w:r>
    </w:p>
    <w:p w14:paraId="023DA7D8" w14:textId="77777777" w:rsidR="00D67460" w:rsidRPr="009558E8" w:rsidRDefault="00D67460" w:rsidP="00FC5A65">
      <w:pPr>
        <w:spacing w:before="120" w:after="120"/>
        <w:outlineLvl w:val="0"/>
        <w:rPr>
          <w:b/>
          <w:sz w:val="22"/>
          <w:szCs w:val="22"/>
        </w:rPr>
      </w:pPr>
      <w:r w:rsidRPr="009558E8">
        <w:rPr>
          <w:b/>
          <w:sz w:val="22"/>
          <w:szCs w:val="22"/>
        </w:rPr>
        <w:lastRenderedPageBreak/>
        <w:t>Domain III: Cultural Competence</w:t>
      </w:r>
    </w:p>
    <w:p w14:paraId="125CBDEC" w14:textId="77777777" w:rsidR="00D67460" w:rsidRPr="009558E8" w:rsidRDefault="00D67460" w:rsidP="00D67460">
      <w:pPr>
        <w:spacing w:before="120" w:after="120"/>
        <w:rPr>
          <w:sz w:val="22"/>
          <w:szCs w:val="22"/>
        </w:rPr>
      </w:pPr>
      <w:r w:rsidRPr="009558E8">
        <w:rPr>
          <w:sz w:val="22"/>
          <w:szCs w:val="22"/>
        </w:rPr>
        <w:t xml:space="preserve">We believe that cultural competence includes both understanding and appreciating cultural, learner, and linguistic diversity but also practicing a pedagogy that views school-family relationships as partnerships in learning. </w:t>
      </w:r>
    </w:p>
    <w:p w14:paraId="0AEEBFE9" w14:textId="77777777" w:rsidR="00D67460" w:rsidRPr="006B53F6" w:rsidRDefault="006144AA" w:rsidP="00FC5A65">
      <w:pPr>
        <w:spacing w:before="120" w:after="120"/>
        <w:outlineLvl w:val="0"/>
        <w:rPr>
          <w:sz w:val="22"/>
          <w:szCs w:val="22"/>
        </w:rPr>
      </w:pPr>
      <w:r w:rsidRPr="006B53F6">
        <w:rPr>
          <w:sz w:val="22"/>
          <w:szCs w:val="22"/>
        </w:rPr>
        <w:t>Candidates/graduates:</w:t>
      </w:r>
    </w:p>
    <w:p w14:paraId="04450878" w14:textId="7B014999" w:rsidR="00D67460" w:rsidRPr="009558E8" w:rsidRDefault="006144AA" w:rsidP="00D67460">
      <w:pPr>
        <w:numPr>
          <w:ilvl w:val="0"/>
          <w:numId w:val="8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D</w:t>
      </w:r>
      <w:r w:rsidR="00D67460" w:rsidRPr="009558E8">
        <w:rPr>
          <w:rFonts w:eastAsiaTheme="minorEastAsia"/>
          <w:sz w:val="22"/>
          <w:szCs w:val="22"/>
        </w:rPr>
        <w:t xml:space="preserve">emonstrate </w:t>
      </w:r>
      <w:r w:rsidR="0067150F" w:rsidRPr="009558E8">
        <w:rPr>
          <w:rFonts w:eastAsiaTheme="minorEastAsia"/>
          <w:sz w:val="22"/>
          <w:szCs w:val="22"/>
        </w:rPr>
        <w:t xml:space="preserve">awareness of the rights of diverse learners as well as </w:t>
      </w:r>
      <w:r w:rsidR="00D67460" w:rsidRPr="009558E8">
        <w:rPr>
          <w:rFonts w:eastAsiaTheme="minorEastAsia"/>
          <w:sz w:val="22"/>
          <w:szCs w:val="22"/>
        </w:rPr>
        <w:t>deep caring, commitment, and empathy for children and families of diverse cultural and socioeconomic backgrounds.</w:t>
      </w:r>
      <w:r w:rsidR="000B7F4C" w:rsidRPr="009558E8">
        <w:rPr>
          <w:rFonts w:eastAsiaTheme="minorEastAsia"/>
          <w:sz w:val="22"/>
          <w:szCs w:val="22"/>
        </w:rPr>
        <w:t xml:space="preserve"> </w:t>
      </w:r>
      <w:r w:rsidR="00C87103" w:rsidRPr="009558E8">
        <w:rPr>
          <w:rFonts w:eastAsiaTheme="minorEastAsia"/>
          <w:sz w:val="22"/>
          <w:szCs w:val="22"/>
        </w:rPr>
        <w:t>*</w:t>
      </w:r>
      <w:r w:rsidR="00D67460" w:rsidRPr="009558E8">
        <w:rPr>
          <w:rFonts w:eastAsiaTheme="minorEastAsia"/>
          <w:i/>
          <w:sz w:val="22"/>
          <w:szCs w:val="22"/>
        </w:rPr>
        <w:t>CCCT 2, 6; CAEP 2, 3, Diversity; INTASC 1, 2, 9</w:t>
      </w:r>
      <w:r w:rsidR="00764F2F" w:rsidRPr="009558E8">
        <w:rPr>
          <w:rFonts w:eastAsiaTheme="minorEastAsia"/>
          <w:i/>
          <w:sz w:val="22"/>
          <w:szCs w:val="22"/>
        </w:rPr>
        <w:t>;</w:t>
      </w:r>
      <w:r w:rsidR="005E005D" w:rsidRPr="009558E8">
        <w:rPr>
          <w:rFonts w:eastAsiaTheme="minorEastAsia"/>
          <w:i/>
          <w:sz w:val="22"/>
          <w:szCs w:val="22"/>
        </w:rPr>
        <w:t xml:space="preserve"> </w:t>
      </w:r>
      <w:r w:rsidR="00FC5A65" w:rsidRPr="009558E8">
        <w:rPr>
          <w:rFonts w:eastAsiaTheme="minorEastAsia"/>
          <w:i/>
          <w:sz w:val="22"/>
          <w:szCs w:val="22"/>
          <w:vertAlign w:val="superscript"/>
        </w:rPr>
        <w:t>+</w:t>
      </w:r>
      <w:r w:rsidR="005E005D" w:rsidRPr="009558E8">
        <w:rPr>
          <w:rFonts w:eastAsiaTheme="minorEastAsia"/>
          <w:i/>
          <w:sz w:val="22"/>
          <w:szCs w:val="22"/>
        </w:rPr>
        <w:t>NBPTS Proposition 1</w:t>
      </w:r>
    </w:p>
    <w:p w14:paraId="67628742" w14:textId="77777777" w:rsidR="00D67460" w:rsidRPr="009558E8" w:rsidRDefault="006144AA" w:rsidP="00D67460">
      <w:pPr>
        <w:numPr>
          <w:ilvl w:val="0"/>
          <w:numId w:val="8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A</w:t>
      </w:r>
      <w:r w:rsidR="00D67460" w:rsidRPr="009558E8">
        <w:rPr>
          <w:rFonts w:eastAsiaTheme="minorEastAsia"/>
          <w:sz w:val="22"/>
          <w:szCs w:val="22"/>
        </w:rPr>
        <w:t xml:space="preserve">rticulate the positive influences of culture on children’s learning and development.  </w:t>
      </w:r>
      <w:r w:rsidR="00D67460" w:rsidRPr="009558E8">
        <w:rPr>
          <w:rFonts w:eastAsiaTheme="minorEastAsia"/>
          <w:i/>
          <w:sz w:val="22"/>
          <w:szCs w:val="22"/>
        </w:rPr>
        <w:t>CCCT 1, 3; CAEP 1, 2, Diversity; INTASC 1, 2</w:t>
      </w:r>
    </w:p>
    <w:p w14:paraId="49EBDA80" w14:textId="401395BE" w:rsidR="00D67460" w:rsidRPr="009558E8" w:rsidRDefault="006144AA" w:rsidP="00D67460">
      <w:pPr>
        <w:numPr>
          <w:ilvl w:val="0"/>
          <w:numId w:val="8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D</w:t>
      </w:r>
      <w:r w:rsidR="00D67460" w:rsidRPr="009558E8">
        <w:rPr>
          <w:rFonts w:eastAsiaTheme="minorEastAsia"/>
          <w:sz w:val="22"/>
          <w:szCs w:val="22"/>
        </w:rPr>
        <w:t>emonstrate culturally responsive teaching, by incorporating the strengths, interests, histories, and needs of families of diverse cultures in their planning, teaching, and assessment.</w:t>
      </w:r>
      <w:r w:rsidR="00552352" w:rsidRPr="009558E8">
        <w:rPr>
          <w:rFonts w:eastAsiaTheme="minorEastAsia"/>
          <w:sz w:val="22"/>
          <w:szCs w:val="22"/>
        </w:rPr>
        <w:t xml:space="preserve"> </w:t>
      </w:r>
      <w:r w:rsidR="00D67460" w:rsidRPr="009558E8">
        <w:rPr>
          <w:rFonts w:eastAsiaTheme="minorEastAsia"/>
          <w:i/>
          <w:sz w:val="22"/>
          <w:szCs w:val="22"/>
        </w:rPr>
        <w:t>CCCT 4; CAEP 1, 2, Diversity; INTASC 2, 7, 8</w:t>
      </w:r>
    </w:p>
    <w:p w14:paraId="782A2D13" w14:textId="07651D80" w:rsidR="00D67460" w:rsidRPr="009558E8" w:rsidRDefault="006144AA" w:rsidP="00D67460">
      <w:pPr>
        <w:numPr>
          <w:ilvl w:val="0"/>
          <w:numId w:val="8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A</w:t>
      </w:r>
      <w:r w:rsidR="00D67460" w:rsidRPr="009558E8">
        <w:rPr>
          <w:rFonts w:eastAsiaTheme="minorEastAsia"/>
          <w:sz w:val="22"/>
          <w:szCs w:val="22"/>
        </w:rPr>
        <w:t>dapt teaching and learning experiences to the linguistic, social, and learning styles and needs of children of diverse backgrounds.</w:t>
      </w:r>
      <w:r w:rsidR="00552352" w:rsidRPr="009558E8">
        <w:rPr>
          <w:rFonts w:eastAsiaTheme="minorEastAsia"/>
          <w:sz w:val="22"/>
          <w:szCs w:val="22"/>
        </w:rPr>
        <w:t xml:space="preserve"> </w:t>
      </w:r>
      <w:r w:rsidR="00D67460" w:rsidRPr="009558E8">
        <w:rPr>
          <w:rFonts w:eastAsiaTheme="minorEastAsia"/>
          <w:i/>
          <w:sz w:val="22"/>
          <w:szCs w:val="22"/>
        </w:rPr>
        <w:t>CCCT 4; CAEP 1, 2, 4, Diversity; INTASC 1, 2, 8</w:t>
      </w:r>
    </w:p>
    <w:p w14:paraId="0510242C" w14:textId="48F9CA7E" w:rsidR="00D67460" w:rsidRPr="009558E8" w:rsidRDefault="006144AA" w:rsidP="00D67460">
      <w:pPr>
        <w:numPr>
          <w:ilvl w:val="0"/>
          <w:numId w:val="8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H</w:t>
      </w:r>
      <w:r w:rsidR="00D67460" w:rsidRPr="009558E8">
        <w:rPr>
          <w:rFonts w:eastAsiaTheme="minorEastAsia"/>
          <w:sz w:val="22"/>
          <w:szCs w:val="22"/>
        </w:rPr>
        <w:t xml:space="preserve">onor all family languages and understand the importance of preserving language as </w:t>
      </w:r>
      <w:r w:rsidR="00552352" w:rsidRPr="009558E8">
        <w:rPr>
          <w:rFonts w:eastAsiaTheme="minorEastAsia"/>
          <w:sz w:val="22"/>
          <w:szCs w:val="22"/>
        </w:rPr>
        <w:t xml:space="preserve">a fundamental part of culture. </w:t>
      </w:r>
      <w:r w:rsidR="00D67460" w:rsidRPr="009558E8">
        <w:rPr>
          <w:rFonts w:eastAsiaTheme="minorEastAsia"/>
          <w:i/>
          <w:sz w:val="22"/>
          <w:szCs w:val="22"/>
        </w:rPr>
        <w:t>CCCT 6, 1; CAEP 1, 2, Diversity; INTASC 9, 10</w:t>
      </w:r>
    </w:p>
    <w:p w14:paraId="57485F9C" w14:textId="179DA27C" w:rsidR="00D67460" w:rsidRPr="009558E8" w:rsidRDefault="006144AA" w:rsidP="00D67460">
      <w:pPr>
        <w:numPr>
          <w:ilvl w:val="0"/>
          <w:numId w:val="8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P</w:t>
      </w:r>
      <w:r w:rsidR="00D67460" w:rsidRPr="009558E8">
        <w:rPr>
          <w:rFonts w:eastAsiaTheme="minorEastAsia"/>
          <w:sz w:val="22"/>
          <w:szCs w:val="22"/>
        </w:rPr>
        <w:t>roactively promote positive cross-cultural peer relationships and openly and directly address instances of bias as they arise in the classroom.</w:t>
      </w:r>
      <w:r w:rsidR="00552352" w:rsidRPr="009558E8">
        <w:rPr>
          <w:rFonts w:eastAsiaTheme="minorEastAsia"/>
          <w:sz w:val="22"/>
          <w:szCs w:val="22"/>
        </w:rPr>
        <w:t xml:space="preserve"> </w:t>
      </w:r>
      <w:r w:rsidR="00D67460" w:rsidRPr="009558E8">
        <w:rPr>
          <w:rFonts w:eastAsiaTheme="minorEastAsia"/>
          <w:i/>
          <w:sz w:val="22"/>
          <w:szCs w:val="22"/>
        </w:rPr>
        <w:t>CCCT 2, 6; CAEP 1, 2, Diversity; INTASC 9, 3, 5</w:t>
      </w:r>
    </w:p>
    <w:p w14:paraId="0E88C349" w14:textId="156F3ACD" w:rsidR="00D67460" w:rsidRPr="009558E8" w:rsidRDefault="006144AA" w:rsidP="00D67460">
      <w:pPr>
        <w:numPr>
          <w:ilvl w:val="0"/>
          <w:numId w:val="8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A</w:t>
      </w:r>
      <w:r w:rsidR="00D67460" w:rsidRPr="009558E8">
        <w:rPr>
          <w:rFonts w:eastAsiaTheme="minorEastAsia"/>
          <w:sz w:val="22"/>
          <w:szCs w:val="22"/>
        </w:rPr>
        <w:t xml:space="preserve">pply their knowledge of culture in their communication with and involvement of families in school. </w:t>
      </w:r>
      <w:r w:rsidR="00D67460" w:rsidRPr="009558E8">
        <w:rPr>
          <w:rFonts w:eastAsiaTheme="minorEastAsia"/>
          <w:i/>
          <w:sz w:val="22"/>
          <w:szCs w:val="22"/>
        </w:rPr>
        <w:t>CCCT 6, 2; CAEP 2, Diversity; INTASC 9, 10</w:t>
      </w:r>
    </w:p>
    <w:p w14:paraId="51589D4D" w14:textId="58746586" w:rsidR="0067150F" w:rsidRPr="009558E8" w:rsidRDefault="006144AA" w:rsidP="00D67460">
      <w:pPr>
        <w:numPr>
          <w:ilvl w:val="0"/>
          <w:numId w:val="8"/>
        </w:numPr>
        <w:spacing w:before="120" w:after="120"/>
        <w:contextualSpacing/>
        <w:rPr>
          <w:rFonts w:eastAsiaTheme="minorEastAsia"/>
          <w:sz w:val="22"/>
          <w:szCs w:val="22"/>
        </w:rPr>
      </w:pPr>
      <w:r w:rsidRPr="009558E8">
        <w:rPr>
          <w:rFonts w:eastAsiaTheme="minorEastAsia"/>
          <w:sz w:val="22"/>
          <w:szCs w:val="22"/>
        </w:rPr>
        <w:t>M</w:t>
      </w:r>
      <w:r w:rsidR="00D67460" w:rsidRPr="009558E8">
        <w:rPr>
          <w:rFonts w:eastAsiaTheme="minorEastAsia"/>
          <w:sz w:val="22"/>
          <w:szCs w:val="22"/>
        </w:rPr>
        <w:t>onitor and address their own cultural biases and recognize and articulate the influences of their own families and cultures on their beliefs and professional practices.</w:t>
      </w:r>
      <w:r w:rsidR="00552352" w:rsidRPr="009558E8">
        <w:rPr>
          <w:rFonts w:eastAsiaTheme="minorEastAsia"/>
          <w:sz w:val="22"/>
          <w:szCs w:val="22"/>
        </w:rPr>
        <w:t xml:space="preserve"> </w:t>
      </w:r>
      <w:r w:rsidR="00D67460" w:rsidRPr="009558E8">
        <w:rPr>
          <w:rFonts w:eastAsiaTheme="minorEastAsia"/>
          <w:i/>
          <w:sz w:val="22"/>
          <w:szCs w:val="22"/>
        </w:rPr>
        <w:t>CCCT 6; CAEP 5, 3, Diversity; INTASC 9</w:t>
      </w:r>
    </w:p>
    <w:p w14:paraId="5205E94F" w14:textId="77777777" w:rsidR="00D67460" w:rsidRPr="009558E8" w:rsidRDefault="00D67460" w:rsidP="00FC5A65">
      <w:pPr>
        <w:spacing w:before="240" w:after="120"/>
        <w:outlineLvl w:val="0"/>
        <w:rPr>
          <w:b/>
          <w:sz w:val="22"/>
          <w:szCs w:val="22"/>
        </w:rPr>
      </w:pPr>
      <w:r w:rsidRPr="009558E8">
        <w:rPr>
          <w:b/>
          <w:sz w:val="22"/>
          <w:szCs w:val="22"/>
        </w:rPr>
        <w:t>Domain IV: Professional Practice and Leadership</w:t>
      </w:r>
    </w:p>
    <w:p w14:paraId="47D466C6" w14:textId="77777777" w:rsidR="00D67460" w:rsidRPr="009558E8" w:rsidRDefault="00D67460" w:rsidP="00D67460">
      <w:pPr>
        <w:rPr>
          <w:sz w:val="22"/>
          <w:szCs w:val="22"/>
        </w:rPr>
      </w:pPr>
      <w:r w:rsidRPr="009558E8">
        <w:rPr>
          <w:sz w:val="22"/>
          <w:szCs w:val="22"/>
        </w:rPr>
        <w:t>We believe that across all coursework and clinical practices, our candidates must demonstrate compassion and dedication to all students that is earnest, professional and mindful.</w:t>
      </w:r>
    </w:p>
    <w:p w14:paraId="3A77830F" w14:textId="77777777" w:rsidR="00D67460" w:rsidRPr="006B53F6" w:rsidRDefault="006144AA" w:rsidP="00FC5A65">
      <w:pPr>
        <w:spacing w:before="120" w:after="120"/>
        <w:outlineLvl w:val="0"/>
        <w:rPr>
          <w:sz w:val="22"/>
          <w:szCs w:val="22"/>
        </w:rPr>
      </w:pPr>
      <w:r w:rsidRPr="006B53F6">
        <w:rPr>
          <w:sz w:val="22"/>
          <w:szCs w:val="22"/>
        </w:rPr>
        <w:t>Candidates/graduates:</w:t>
      </w:r>
    </w:p>
    <w:p w14:paraId="15EBBB15" w14:textId="0467A01F" w:rsidR="00D67460" w:rsidRPr="009558E8" w:rsidRDefault="006144AA" w:rsidP="00C506E2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hAnsi="Times New Roman"/>
          <w:sz w:val="22"/>
          <w:szCs w:val="22"/>
        </w:rPr>
        <w:t>D</w:t>
      </w:r>
      <w:r w:rsidR="00D67460" w:rsidRPr="009558E8">
        <w:rPr>
          <w:rFonts w:ascii="Times New Roman" w:hAnsi="Times New Roman"/>
          <w:sz w:val="22"/>
          <w:szCs w:val="22"/>
        </w:rPr>
        <w:t xml:space="preserve">emonstrate </w:t>
      </w:r>
      <w:r w:rsidR="0067150F" w:rsidRPr="009558E8">
        <w:rPr>
          <w:rFonts w:ascii="Times New Roman" w:hAnsi="Times New Roman"/>
          <w:sz w:val="22"/>
          <w:szCs w:val="22"/>
        </w:rPr>
        <w:t xml:space="preserve">integrity and ethical behavior in their professional conduct and </w:t>
      </w:r>
      <w:r w:rsidR="00D67460" w:rsidRPr="009558E8">
        <w:rPr>
          <w:rFonts w:ascii="Times New Roman" w:hAnsi="Times New Roman"/>
          <w:sz w:val="22"/>
          <w:szCs w:val="22"/>
        </w:rPr>
        <w:t>an ongoing commitment to their professional growth by engaging in continuous meaningful learning.</w:t>
      </w:r>
      <w:r w:rsidR="00552352" w:rsidRPr="009558E8">
        <w:rPr>
          <w:rFonts w:ascii="Times New Roman" w:hAnsi="Times New Roman"/>
          <w:sz w:val="22"/>
          <w:szCs w:val="22"/>
        </w:rPr>
        <w:t xml:space="preserve"> </w:t>
      </w:r>
      <w:r w:rsidR="00D67460" w:rsidRPr="009558E8">
        <w:rPr>
          <w:rFonts w:ascii="Times New Roman" w:hAnsi="Times New Roman"/>
          <w:i/>
          <w:sz w:val="22"/>
          <w:szCs w:val="22"/>
        </w:rPr>
        <w:t>CCCT 6; CAEP 5; INTASC 9, 10</w:t>
      </w:r>
      <w:r w:rsidR="00764F2F" w:rsidRPr="009558E8">
        <w:rPr>
          <w:rFonts w:ascii="Times New Roman" w:hAnsi="Times New Roman"/>
          <w:i/>
          <w:sz w:val="22"/>
          <w:szCs w:val="22"/>
        </w:rPr>
        <w:t>;</w:t>
      </w:r>
      <w:r w:rsidR="005E005D" w:rsidRPr="009558E8">
        <w:rPr>
          <w:rFonts w:ascii="Times New Roman" w:hAnsi="Times New Roman"/>
          <w:i/>
          <w:sz w:val="22"/>
          <w:szCs w:val="22"/>
        </w:rPr>
        <w:t xml:space="preserve"> </w:t>
      </w:r>
      <w:r w:rsidR="00FC5A65" w:rsidRPr="009558E8">
        <w:rPr>
          <w:rFonts w:ascii="Times New Roman" w:hAnsi="Times New Roman"/>
          <w:i/>
          <w:sz w:val="22"/>
          <w:szCs w:val="22"/>
          <w:vertAlign w:val="superscript"/>
        </w:rPr>
        <w:t>+</w:t>
      </w:r>
      <w:r w:rsidR="005E005D" w:rsidRPr="009558E8">
        <w:rPr>
          <w:rFonts w:ascii="Times New Roman" w:hAnsi="Times New Roman"/>
          <w:i/>
          <w:sz w:val="22"/>
          <w:szCs w:val="22"/>
        </w:rPr>
        <w:t>NBPTS Proposition 5</w:t>
      </w:r>
    </w:p>
    <w:p w14:paraId="0F74C5EF" w14:textId="469469D9" w:rsidR="00D67460" w:rsidRPr="009558E8" w:rsidRDefault="0067150F" w:rsidP="00D6746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hAnsi="Times New Roman"/>
          <w:sz w:val="22"/>
          <w:szCs w:val="22"/>
        </w:rPr>
        <w:t xml:space="preserve">Consistently uphold their professional responsibility and continually examine </w:t>
      </w:r>
      <w:r w:rsidR="00D67460" w:rsidRPr="009558E8">
        <w:rPr>
          <w:rFonts w:ascii="Times New Roman" w:hAnsi="Times New Roman"/>
          <w:sz w:val="22"/>
          <w:szCs w:val="22"/>
        </w:rPr>
        <w:t>their ability to design and deliver effective instruction by using feedback and evidence from learners, peers and mentors to revise instructional practices and to improve effectiveness.</w:t>
      </w:r>
      <w:r w:rsidR="00552352" w:rsidRPr="009558E8">
        <w:rPr>
          <w:rFonts w:ascii="Times New Roman" w:hAnsi="Times New Roman"/>
          <w:sz w:val="22"/>
          <w:szCs w:val="22"/>
        </w:rPr>
        <w:t xml:space="preserve"> </w:t>
      </w:r>
      <w:r w:rsidR="00D67460" w:rsidRPr="009558E8">
        <w:rPr>
          <w:rFonts w:ascii="Times New Roman" w:hAnsi="Times New Roman"/>
          <w:i/>
          <w:sz w:val="22"/>
          <w:szCs w:val="22"/>
        </w:rPr>
        <w:t>CCCT 5, 3; CAEP 5; INTASC 9</w:t>
      </w:r>
    </w:p>
    <w:p w14:paraId="0DDA293C" w14:textId="1032EEE9" w:rsidR="00D67460" w:rsidRPr="009558E8" w:rsidRDefault="006144AA" w:rsidP="00D67460">
      <w:pPr>
        <w:pStyle w:val="ListParagraph"/>
        <w:numPr>
          <w:ilvl w:val="0"/>
          <w:numId w:val="6"/>
        </w:numPr>
        <w:spacing w:before="240" w:after="160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hAnsi="Times New Roman"/>
          <w:sz w:val="22"/>
          <w:szCs w:val="22"/>
        </w:rPr>
        <w:t>C</w:t>
      </w:r>
      <w:r w:rsidR="00D67460" w:rsidRPr="009558E8">
        <w:rPr>
          <w:rFonts w:ascii="Times New Roman" w:hAnsi="Times New Roman"/>
          <w:sz w:val="22"/>
          <w:szCs w:val="22"/>
        </w:rPr>
        <w:t>ollaborate with their peers, school personnel, families and community members to contribute to effective school changes.</w:t>
      </w:r>
      <w:r w:rsidR="00552352" w:rsidRPr="009558E8">
        <w:rPr>
          <w:rFonts w:ascii="Times New Roman" w:hAnsi="Times New Roman"/>
          <w:sz w:val="22"/>
          <w:szCs w:val="22"/>
        </w:rPr>
        <w:t xml:space="preserve"> </w:t>
      </w:r>
      <w:r w:rsidR="0049170B" w:rsidRPr="009558E8">
        <w:rPr>
          <w:rFonts w:ascii="Times New Roman" w:hAnsi="Times New Roman"/>
          <w:sz w:val="22"/>
          <w:szCs w:val="22"/>
        </w:rPr>
        <w:t>*</w:t>
      </w:r>
      <w:r w:rsidR="00D67460" w:rsidRPr="009558E8">
        <w:rPr>
          <w:rFonts w:ascii="Times New Roman" w:hAnsi="Times New Roman"/>
          <w:i/>
          <w:sz w:val="22"/>
          <w:szCs w:val="22"/>
        </w:rPr>
        <w:t xml:space="preserve">CCCT 6; </w:t>
      </w:r>
      <w:r w:rsidR="00605F71" w:rsidRPr="009558E8">
        <w:rPr>
          <w:rFonts w:ascii="Times New Roman" w:hAnsi="Times New Roman"/>
          <w:i/>
          <w:sz w:val="22"/>
          <w:szCs w:val="22"/>
        </w:rPr>
        <w:t>CAEP A.1.1</w:t>
      </w:r>
      <w:r w:rsidR="00764F2F" w:rsidRPr="009558E8">
        <w:rPr>
          <w:rFonts w:ascii="Times New Roman" w:hAnsi="Times New Roman"/>
          <w:i/>
          <w:sz w:val="22"/>
          <w:szCs w:val="22"/>
        </w:rPr>
        <w:t>;</w:t>
      </w:r>
      <w:r w:rsidR="00605F71" w:rsidRPr="009558E8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D67460" w:rsidRPr="009558E8">
        <w:rPr>
          <w:rFonts w:ascii="Times New Roman" w:hAnsi="Times New Roman"/>
          <w:i/>
          <w:sz w:val="22"/>
          <w:szCs w:val="22"/>
        </w:rPr>
        <w:t>CAEP 2, 5; INTASC 1</w:t>
      </w:r>
      <w:r w:rsidR="0028318F" w:rsidRPr="009558E8">
        <w:rPr>
          <w:rFonts w:ascii="Times New Roman" w:hAnsi="Times New Roman"/>
          <w:i/>
          <w:sz w:val="22"/>
          <w:szCs w:val="22"/>
        </w:rPr>
        <w:t xml:space="preserve">, </w:t>
      </w:r>
    </w:p>
    <w:p w14:paraId="152124C3" w14:textId="48995AFC" w:rsidR="0067150F" w:rsidRPr="009558E8" w:rsidRDefault="006144AA" w:rsidP="0067150F">
      <w:pPr>
        <w:pStyle w:val="ListParagraph"/>
        <w:numPr>
          <w:ilvl w:val="0"/>
          <w:numId w:val="6"/>
        </w:numPr>
        <w:spacing w:before="240" w:after="160"/>
        <w:rPr>
          <w:rFonts w:ascii="Times New Roman" w:hAnsi="Times New Roman"/>
          <w:sz w:val="22"/>
          <w:szCs w:val="22"/>
        </w:rPr>
      </w:pPr>
      <w:r w:rsidRPr="009558E8">
        <w:rPr>
          <w:rFonts w:ascii="Times New Roman" w:hAnsi="Times New Roman"/>
          <w:sz w:val="22"/>
          <w:szCs w:val="22"/>
        </w:rPr>
        <w:t>S</w:t>
      </w:r>
      <w:r w:rsidR="00D67460" w:rsidRPr="009558E8">
        <w:rPr>
          <w:rFonts w:ascii="Times New Roman" w:hAnsi="Times New Roman"/>
          <w:sz w:val="22"/>
          <w:szCs w:val="22"/>
        </w:rPr>
        <w:t>eek leadership roles to advocate for the well-being of all learners a</w:t>
      </w:r>
      <w:r w:rsidR="00552352" w:rsidRPr="009558E8">
        <w:rPr>
          <w:rFonts w:ascii="Times New Roman" w:hAnsi="Times New Roman"/>
          <w:sz w:val="22"/>
          <w:szCs w:val="22"/>
        </w:rPr>
        <w:t xml:space="preserve">nd to advance the profession. </w:t>
      </w:r>
      <w:r w:rsidR="00D67460" w:rsidRPr="009558E8">
        <w:rPr>
          <w:rFonts w:ascii="Times New Roman" w:hAnsi="Times New Roman"/>
          <w:i/>
          <w:sz w:val="22"/>
          <w:szCs w:val="22"/>
        </w:rPr>
        <w:t>CCCT 6; CAEP 5, 1; INTASC 1</w:t>
      </w:r>
    </w:p>
    <w:sectPr w:rsidR="0067150F" w:rsidRPr="00955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84CDC" w14:textId="77777777" w:rsidR="0094416F" w:rsidRDefault="0094416F" w:rsidP="00143722">
      <w:r>
        <w:separator/>
      </w:r>
    </w:p>
  </w:endnote>
  <w:endnote w:type="continuationSeparator" w:id="0">
    <w:p w14:paraId="13CFCBFA" w14:textId="77777777" w:rsidR="0094416F" w:rsidRDefault="0094416F" w:rsidP="001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9002" w14:textId="77777777" w:rsidR="00233F2E" w:rsidRDefault="00233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D731" w14:textId="2129B9C1" w:rsidR="00D2418A" w:rsidRPr="00895BE2" w:rsidRDefault="002D7A6E" w:rsidP="00D2418A">
    <w:pPr>
      <w:rPr>
        <w:sz w:val="20"/>
        <w:szCs w:val="20"/>
      </w:rPr>
    </w:pPr>
    <w:r w:rsidRPr="002D7A6E">
      <w:t>*</w:t>
    </w:r>
    <w:r w:rsidR="00D2418A" w:rsidRPr="00895BE2">
      <w:rPr>
        <w:sz w:val="20"/>
        <w:szCs w:val="20"/>
      </w:rPr>
      <w:t>Aligned with the School of Education and Professional Studies Goals</w:t>
    </w:r>
  </w:p>
  <w:p w14:paraId="19D23FAE" w14:textId="58C7EB97" w:rsidR="00D2418A" w:rsidRPr="00895BE2" w:rsidRDefault="00D2418A" w:rsidP="00D2418A">
    <w:pPr>
      <w:rPr>
        <w:sz w:val="20"/>
        <w:szCs w:val="20"/>
      </w:rPr>
    </w:pPr>
    <w:r w:rsidRPr="00895BE2">
      <w:rPr>
        <w:sz w:val="20"/>
        <w:szCs w:val="20"/>
        <w:vertAlign w:val="superscript"/>
      </w:rPr>
      <w:t>+</w:t>
    </w:r>
    <w:r w:rsidRPr="00895BE2">
      <w:rPr>
        <w:sz w:val="20"/>
        <w:szCs w:val="20"/>
      </w:rPr>
      <w:t>Prioritized for advanced masters</w:t>
    </w:r>
  </w:p>
  <w:p w14:paraId="296D10F4" w14:textId="0B699D9E" w:rsidR="002D7A6E" w:rsidRPr="00233F2E" w:rsidRDefault="00233F2E" w:rsidP="00233F2E">
    <w:pPr>
      <w:ind w:left="90" w:hanging="90"/>
      <w:rPr>
        <w:sz w:val="20"/>
      </w:rPr>
    </w:pPr>
    <w:r>
      <w:rPr>
        <w:sz w:val="20"/>
      </w:rPr>
      <w:t>*</w:t>
    </w:r>
    <w:r w:rsidRPr="00233F2E">
      <w:rPr>
        <w:sz w:val="20"/>
      </w:rPr>
      <w:t xml:space="preserve">Connecticut Common Core of Teaching (CCCT); </w:t>
    </w:r>
    <w:r w:rsidR="002D7A6E" w:rsidRPr="00233F2E">
      <w:rPr>
        <w:sz w:val="20"/>
      </w:rPr>
      <w:t>Council for the Accreditation of Educator Preparation (CAEP); Interstate Teacher Assessment and Support Consortium (INTASC); National Board for Professional Teaching Standards (NBPTS)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ECBB" w14:textId="77777777" w:rsidR="00233F2E" w:rsidRDefault="00233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7F8C" w14:textId="77777777" w:rsidR="0094416F" w:rsidRDefault="0094416F" w:rsidP="00143722">
      <w:r>
        <w:separator/>
      </w:r>
    </w:p>
  </w:footnote>
  <w:footnote w:type="continuationSeparator" w:id="0">
    <w:p w14:paraId="446746C1" w14:textId="77777777" w:rsidR="0094416F" w:rsidRDefault="0094416F" w:rsidP="00143722">
      <w:r>
        <w:continuationSeparator/>
      </w:r>
    </w:p>
  </w:footnote>
  <w:footnote w:id="1">
    <w:p w14:paraId="578251E9" w14:textId="427291A9" w:rsidR="0067150F" w:rsidRPr="00895BE2" w:rsidRDefault="0067150F">
      <w:pPr>
        <w:pStyle w:val="FootnoteText"/>
        <w:rPr>
          <w:sz w:val="20"/>
          <w:szCs w:val="20"/>
        </w:rPr>
      </w:pPr>
      <w:r w:rsidRPr="00895BE2">
        <w:rPr>
          <w:rStyle w:val="FootnoteReference"/>
          <w:sz w:val="20"/>
          <w:szCs w:val="20"/>
        </w:rPr>
        <w:footnoteRef/>
      </w:r>
      <w:r w:rsidRPr="00895BE2">
        <w:rPr>
          <w:sz w:val="20"/>
          <w:szCs w:val="20"/>
        </w:rPr>
        <w:t xml:space="preserve"> </w:t>
      </w:r>
      <w:r w:rsidRPr="00895BE2">
        <w:rPr>
          <w:rFonts w:eastAsiaTheme="minorHAnsi"/>
          <w:sz w:val="20"/>
          <w:szCs w:val="20"/>
        </w:rPr>
        <w:t>Social, psychological, emotional/behavioral, linguistic, and intellectual developmental areas.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F2EE" w14:textId="77777777" w:rsidR="00233F2E" w:rsidRDefault="00233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7A1C" w14:textId="77777777" w:rsidR="00233F2E" w:rsidRDefault="00233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2F44" w14:textId="77777777" w:rsidR="00233F2E" w:rsidRDefault="00233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AD3"/>
    <w:multiLevelType w:val="hybridMultilevel"/>
    <w:tmpl w:val="446C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E2E"/>
    <w:multiLevelType w:val="hybridMultilevel"/>
    <w:tmpl w:val="147C33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A5EA2"/>
    <w:multiLevelType w:val="hybridMultilevel"/>
    <w:tmpl w:val="77C8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8A5"/>
    <w:multiLevelType w:val="hybridMultilevel"/>
    <w:tmpl w:val="39247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7521"/>
    <w:multiLevelType w:val="hybridMultilevel"/>
    <w:tmpl w:val="CA9EB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F6616"/>
    <w:multiLevelType w:val="hybridMultilevel"/>
    <w:tmpl w:val="446C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4CB"/>
    <w:multiLevelType w:val="hybridMultilevel"/>
    <w:tmpl w:val="E3D64C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8504E"/>
    <w:multiLevelType w:val="hybridMultilevel"/>
    <w:tmpl w:val="FCCE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6BD7"/>
    <w:multiLevelType w:val="hybridMultilevel"/>
    <w:tmpl w:val="A6F45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81DAF"/>
    <w:multiLevelType w:val="hybridMultilevel"/>
    <w:tmpl w:val="4D8A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8B"/>
    <w:rsid w:val="0004665A"/>
    <w:rsid w:val="00074BB5"/>
    <w:rsid w:val="00091924"/>
    <w:rsid w:val="000B7F4C"/>
    <w:rsid w:val="000E0B95"/>
    <w:rsid w:val="0011610F"/>
    <w:rsid w:val="00130BC9"/>
    <w:rsid w:val="00143722"/>
    <w:rsid w:val="001632C2"/>
    <w:rsid w:val="001E2D09"/>
    <w:rsid w:val="00233F2E"/>
    <w:rsid w:val="0025370E"/>
    <w:rsid w:val="0028318F"/>
    <w:rsid w:val="002D7A6E"/>
    <w:rsid w:val="00481D15"/>
    <w:rsid w:val="0049170B"/>
    <w:rsid w:val="00552352"/>
    <w:rsid w:val="005E005D"/>
    <w:rsid w:val="00605F71"/>
    <w:rsid w:val="006144AA"/>
    <w:rsid w:val="0066350E"/>
    <w:rsid w:val="0067150F"/>
    <w:rsid w:val="006944C0"/>
    <w:rsid w:val="00697014"/>
    <w:rsid w:val="006B53F6"/>
    <w:rsid w:val="006F2009"/>
    <w:rsid w:val="00764F2F"/>
    <w:rsid w:val="00817532"/>
    <w:rsid w:val="00895BE2"/>
    <w:rsid w:val="0094416F"/>
    <w:rsid w:val="00951C3B"/>
    <w:rsid w:val="009558E8"/>
    <w:rsid w:val="00994CE7"/>
    <w:rsid w:val="0099670C"/>
    <w:rsid w:val="009C00DF"/>
    <w:rsid w:val="00AB615E"/>
    <w:rsid w:val="00AC4295"/>
    <w:rsid w:val="00AF0829"/>
    <w:rsid w:val="00B03397"/>
    <w:rsid w:val="00B35F54"/>
    <w:rsid w:val="00BA4C1C"/>
    <w:rsid w:val="00C506E2"/>
    <w:rsid w:val="00C87103"/>
    <w:rsid w:val="00CB118B"/>
    <w:rsid w:val="00CF5B27"/>
    <w:rsid w:val="00D2418A"/>
    <w:rsid w:val="00D55CFA"/>
    <w:rsid w:val="00D67460"/>
    <w:rsid w:val="00D84A0F"/>
    <w:rsid w:val="00E26252"/>
    <w:rsid w:val="00E62A6B"/>
    <w:rsid w:val="00E94BEC"/>
    <w:rsid w:val="00F07135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19B376"/>
  <w15:docId w15:val="{F106F143-AB53-478A-AC31-5766BB47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acing"/>
    <w:qFormat/>
    <w:rsid w:val="00CB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2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746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7460"/>
    <w:pPr>
      <w:ind w:left="360" w:hanging="27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74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D67460"/>
    <w:rPr>
      <w:i/>
      <w:iCs/>
    </w:rPr>
  </w:style>
  <w:style w:type="character" w:customStyle="1" w:styleId="ptbrand3">
    <w:name w:val="ptbrand3"/>
    <w:rsid w:val="00D67460"/>
  </w:style>
  <w:style w:type="paragraph" w:styleId="ListParagraph">
    <w:name w:val="List Paragraph"/>
    <w:basedOn w:val="Normal"/>
    <w:uiPriority w:val="34"/>
    <w:qFormat/>
    <w:rsid w:val="00D67460"/>
    <w:pPr>
      <w:ind w:left="720"/>
      <w:contextualSpacing/>
    </w:pPr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71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75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5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53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5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5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7150F"/>
  </w:style>
  <w:style w:type="character" w:customStyle="1" w:styleId="FootnoteTextChar">
    <w:name w:val="Footnote Text Char"/>
    <w:basedOn w:val="DefaultParagraphFont"/>
    <w:link w:val="FootnoteText"/>
    <w:uiPriority w:val="99"/>
    <w:rsid w:val="0067150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71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9DA4-2182-406A-AED7-9BB88978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Fabrizi, Mark A.(Education)</dc:creator>
  <cp:keywords/>
  <dc:description/>
  <cp:lastModifiedBy>Swaminathan, Sudha (Education)</cp:lastModifiedBy>
  <cp:revision>2</cp:revision>
  <dcterms:created xsi:type="dcterms:W3CDTF">2016-11-01T18:23:00Z</dcterms:created>
  <dcterms:modified xsi:type="dcterms:W3CDTF">2016-11-01T18:23:00Z</dcterms:modified>
</cp:coreProperties>
</file>