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FEAA" w14:textId="51F17C38" w:rsidR="004B78F9" w:rsidRDefault="49F87443" w:rsidP="1D8642D8">
      <w:pPr>
        <w:spacing w:line="257" w:lineRule="auto"/>
        <w:jc w:val="center"/>
        <w:rPr>
          <w:rFonts w:ascii="Century Schoolbook" w:eastAsia="Century Schoolbook" w:hAnsi="Century Schoolbook" w:cs="Century Schoolbook"/>
          <w:b/>
          <w:bCs/>
          <w:sz w:val="22"/>
          <w:szCs w:val="22"/>
        </w:rPr>
      </w:pPr>
      <w:r w:rsidRPr="1D8642D8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>Course Overview: ART 215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1D8642D8" w14:paraId="3B90FB5C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89281" w14:textId="4E8A927A" w:rsidR="1D8642D8" w:rsidRDefault="1D8642D8" w:rsidP="1E6EB175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1E6EB175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Course title:</w:t>
            </w:r>
            <w:r w:rsidR="3C966CD7" w:rsidRPr="1E6EB175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hyperlink r:id="rId8">
              <w:r w:rsidR="3C966CD7" w:rsidRPr="1E6EB175">
                <w:rPr>
                  <w:rStyle w:val="Hyperlink"/>
                  <w:rFonts w:ascii="Century Schoolbook" w:eastAsia="Century Schoolbook" w:hAnsi="Century Schoolbook" w:cs="Century Schoolbook"/>
                  <w:color w:val="auto"/>
                  <w:sz w:val="22"/>
                  <w:szCs w:val="22"/>
                  <w:u w:val="none"/>
                </w:rPr>
                <w:t>Painting I</w:t>
              </w:r>
            </w:hyperlink>
          </w:p>
          <w:p w14:paraId="498C984D" w14:textId="7F22978E" w:rsidR="1D8642D8" w:rsidRDefault="1D8642D8" w:rsidP="1E6EB175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1D8642D8" w14:paraId="7DAC9660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10739" w14:textId="7847EC00" w:rsidR="1D8642D8" w:rsidRDefault="1D8642D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Pre-requisites: </w:t>
            </w:r>
            <w:r w:rsidR="67B46532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ART 202</w:t>
            </w:r>
          </w:p>
          <w:p w14:paraId="5D5E5D4D" w14:textId="6C9EE067" w:rsidR="1D8642D8" w:rsidRDefault="1D8642D8" w:rsidP="416A8BEA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1D8642D8" w14:paraId="43DD0B0C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66F37" w14:textId="3F765E1E" w:rsidR="1D8642D8" w:rsidRDefault="1D8642D8" w:rsidP="416A8BEA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16A8BEA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Number of credits:</w:t>
            </w:r>
            <w:r w:rsidR="38F6BD0C" w:rsidRPr="416A8BEA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38F6BD0C" w:rsidRPr="416A8BEA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3</w:t>
            </w:r>
          </w:p>
          <w:p w14:paraId="22425D0B" w14:textId="18D57605" w:rsidR="1D8642D8" w:rsidRDefault="1D8642D8" w:rsidP="416A8BEA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1D8642D8" w14:paraId="0EA74D62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0303C" w14:textId="61677B5A" w:rsidR="1D8642D8" w:rsidRDefault="1D8642D8" w:rsidP="416A8BEA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Catalog course description:</w:t>
            </w:r>
            <w:r w:rsidR="0D9246DE"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0D9246DE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This course is an introduction to the art of painting emphasizing color and composition.</w:t>
            </w:r>
          </w:p>
          <w:p w14:paraId="4BF8108F" w14:textId="281ECDDC" w:rsidR="46458BE9" w:rsidRDefault="46458BE9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  <w:p w14:paraId="5FD1FBAD" w14:textId="53BB6658" w:rsidR="0FFE7568" w:rsidRDefault="0FFE756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i/>
                <w:iCs/>
                <w:sz w:val="22"/>
                <w:szCs w:val="22"/>
              </w:rPr>
              <w:t>Note:</w:t>
            </w: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This course is only taught by a single instructor on </w:t>
            </w:r>
            <w:proofErr w:type="spellStart"/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Eastern’s</w:t>
            </w:r>
            <w:proofErr w:type="spellEnd"/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campus, so your syllabus should hew closely to the sample syllabus, as it is the sole syllabus in use on campus.</w:t>
            </w:r>
          </w:p>
          <w:p w14:paraId="4464E44C" w14:textId="2D03B3BC" w:rsidR="1D8642D8" w:rsidRDefault="1D8642D8" w:rsidP="416A8BEA">
            <w:pPr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</w:tr>
      <w:tr w:rsidR="1D8642D8" w14:paraId="6647D656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128EE" w14:textId="47E43D2E" w:rsidR="1D8642D8" w:rsidRDefault="1D8642D8" w:rsidP="562FC4DD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562FC4DD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Required instructor qualifications:</w:t>
            </w:r>
            <w:r w:rsidR="60142AC0" w:rsidRPr="562FC4DD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60142AC0" w:rsidRPr="562FC4DD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 xml:space="preserve">MFA in Studio Art OR Bachelor’s degree in Studio Art and </w:t>
            </w:r>
            <w:proofErr w:type="gramStart"/>
            <w:r w:rsidR="60142AC0" w:rsidRPr="562FC4DD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>Master’s</w:t>
            </w:r>
            <w:proofErr w:type="gramEnd"/>
            <w:r w:rsidR="60142AC0" w:rsidRPr="562FC4DD">
              <w:rPr>
                <w:rFonts w:ascii="Century Schoolbook" w:eastAsia="Century Schoolbook" w:hAnsi="Century Schoolbook" w:cs="Century Schoolbook"/>
                <w:color w:val="000000" w:themeColor="text1"/>
                <w:sz w:val="22"/>
                <w:szCs w:val="22"/>
              </w:rPr>
              <w:t xml:space="preserve"> degree in a related field</w:t>
            </w:r>
          </w:p>
          <w:p w14:paraId="25D060F0" w14:textId="34BD1896" w:rsidR="1D8642D8" w:rsidRDefault="1D8642D8" w:rsidP="46458BE9">
            <w:pPr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</w:tr>
      <w:tr w:rsidR="1D8642D8" w14:paraId="30E71BB0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9F8FA" w14:textId="26EC44D2" w:rsidR="1D8642D8" w:rsidRDefault="1D8642D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Course’s audience and role in </w:t>
            </w:r>
            <w:proofErr w:type="spellStart"/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Eastern’s</w:t>
            </w:r>
            <w:proofErr w:type="spellEnd"/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curriculum:</w:t>
            </w:r>
            <w:r w:rsidR="7418C203"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7418C203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This course fulfills an elective requirement for students majoring with Art and Art History with a concentration in either Illustration or Studio Art. It also can be taken as an elective by Studio Art minors.</w:t>
            </w:r>
          </w:p>
          <w:p w14:paraId="357F94DE" w14:textId="6B1D7F94" w:rsidR="1D8642D8" w:rsidRDefault="1D8642D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1D8642D8" w14:paraId="4125A92F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28A6A" w14:textId="0FF27240" w:rsidR="1D8642D8" w:rsidRDefault="1D8642D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Learning o</w:t>
            </w:r>
            <w:r w:rsidR="1C921E6B"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utcom</w:t>
            </w:r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es:</w:t>
            </w:r>
            <w:r w:rsidR="69860EAD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</w:t>
            </w:r>
            <w:r w:rsidR="546AD613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By the end of this course, students will:</w:t>
            </w:r>
          </w:p>
          <w:p w14:paraId="771F4A8C" w14:textId="1A896B9E" w:rsidR="1D8642D8" w:rsidRDefault="546AD613" w:rsidP="46458BE9">
            <w:pPr>
              <w:pStyle w:val="ListParagraph"/>
              <w:numPr>
                <w:ilvl w:val="0"/>
                <w:numId w:val="2"/>
              </w:numPr>
              <w:rPr>
                <w:rFonts w:ascii="Century Schoolbook" w:eastAsia="Century Schoolbook" w:hAnsi="Century Schoolbook" w:cs="Century Schoolbook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Demonstrate knowledge of the properties and characteristics of acrylic paint, including drying time, texture, and mixing capabilities</w:t>
            </w:r>
          </w:p>
          <w:p w14:paraId="35AFA699" w14:textId="6C6128B7" w:rsidR="1D8642D8" w:rsidRDefault="546AD613" w:rsidP="46458BE9">
            <w:pPr>
              <w:pStyle w:val="ListParagraph"/>
              <w:numPr>
                <w:ilvl w:val="0"/>
                <w:numId w:val="2"/>
              </w:numPr>
              <w:rPr>
                <w:rFonts w:ascii="Century Schoolbook" w:eastAsia="Century Schoolbook" w:hAnsi="Century Schoolbook" w:cs="Century Schoolbook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Mix colors effectively to create a wide range of hues, tints, and shades, showcasing an understanding of color theory and relationships</w:t>
            </w:r>
          </w:p>
          <w:p w14:paraId="45823617" w14:textId="660D7DC6" w:rsidR="1D8642D8" w:rsidRDefault="546AD613" w:rsidP="46458BE9">
            <w:pPr>
              <w:pStyle w:val="ListParagraph"/>
              <w:numPr>
                <w:ilvl w:val="0"/>
                <w:numId w:val="2"/>
              </w:numPr>
              <w:rPr>
                <w:rFonts w:ascii="Century Schoolbook" w:eastAsia="Century Schoolbook" w:hAnsi="Century Schoolbook" w:cs="Century Schoolbook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Organize and maintain their painting palettes for efficient color application and management during the painting process</w:t>
            </w:r>
          </w:p>
          <w:p w14:paraId="764A3BDB" w14:textId="33C96ED0" w:rsidR="1D8642D8" w:rsidRDefault="16CAED36" w:rsidP="46458BE9">
            <w:pPr>
              <w:pStyle w:val="ListParagraph"/>
              <w:numPr>
                <w:ilvl w:val="0"/>
                <w:numId w:val="2"/>
              </w:num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Enhance </w:t>
            </w:r>
            <w:r w:rsidR="2825E60E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their</w:t>
            </w: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observational skills, t</w:t>
            </w:r>
            <w:r w:rsidR="708D8C7B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ranslat</w:t>
            </w:r>
            <w:r w:rsidR="4EF6CFB5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ing</w:t>
            </w:r>
            <w:r w:rsidR="708D8C7B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what they see onto the canvas with accuracy and intention</w:t>
            </w:r>
          </w:p>
          <w:p w14:paraId="20FC261C" w14:textId="0B858AA6" w:rsidR="1D8642D8" w:rsidRDefault="7A9269BF" w:rsidP="46458BE9">
            <w:pPr>
              <w:pStyle w:val="ListParagraph"/>
              <w:numPr>
                <w:ilvl w:val="0"/>
                <w:numId w:val="2"/>
              </w:num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Acquire </w:t>
            </w:r>
            <w:r w:rsidR="1CAEFC0B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various pain</w:t>
            </w:r>
            <w:r w:rsidR="0FE3889D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t</w:t>
            </w:r>
            <w:r w:rsidR="1CAEFC0B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ing techniques, including layering, glazing, and texturing, to achieve desired effects in their work</w:t>
            </w:r>
          </w:p>
          <w:p w14:paraId="79C83044" w14:textId="6B7C4C45" w:rsidR="1D8642D8" w:rsidRDefault="1CAEFC0B" w:rsidP="46458BE9">
            <w:pPr>
              <w:pStyle w:val="ListParagraph"/>
              <w:numPr>
                <w:ilvl w:val="0"/>
                <w:numId w:val="2"/>
              </w:num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Demonstrate imp</w:t>
            </w:r>
            <w:r w:rsidR="43A10FEC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roved rendering skills, effectively capturing form, depth, and light in their acrylic paintings</w:t>
            </w:r>
          </w:p>
          <w:p w14:paraId="1030663B" w14:textId="4812C061" w:rsidR="1D8642D8" w:rsidRDefault="43A10FEC" w:rsidP="46458BE9">
            <w:pPr>
              <w:pStyle w:val="ListParagraph"/>
              <w:numPr>
                <w:ilvl w:val="0"/>
                <w:numId w:val="2"/>
              </w:num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Explore and articulate their individual artistic voices, using acrylic painting as a medium for personal expression</w:t>
            </w:r>
          </w:p>
          <w:p w14:paraId="0AF65AA4" w14:textId="37B8F508" w:rsidR="1D8642D8" w:rsidRDefault="43A10FEC" w:rsidP="46458BE9">
            <w:pPr>
              <w:pStyle w:val="ListParagraph"/>
              <w:numPr>
                <w:ilvl w:val="0"/>
                <w:numId w:val="2"/>
              </w:num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Engage in constructive critiques of their own work and that of peers, fostering a reflective practice that encourages growth and development and presentation skills</w:t>
            </w:r>
          </w:p>
          <w:p w14:paraId="76252E39" w14:textId="2E53C0E7" w:rsidR="1D8642D8" w:rsidRDefault="1D8642D8" w:rsidP="46458BE9">
            <w:pPr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</w:pPr>
          </w:p>
        </w:tc>
      </w:tr>
      <w:tr w:rsidR="1D8642D8" w14:paraId="28967FB3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6A514" w14:textId="4B13A561" w:rsidR="1D8642D8" w:rsidRDefault="1D8642D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Primary modes of instruction:</w:t>
            </w:r>
            <w:r w:rsidR="74B65C39"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74B65C39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Class may include lectures and demonstrations</w:t>
            </w:r>
            <w:r w:rsidR="25B41B86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as well as studio work time</w:t>
            </w:r>
            <w:r w:rsidR="74B65C39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. Students should complete hands-on projects and critique their own and one another’s work.</w:t>
            </w:r>
          </w:p>
          <w:p w14:paraId="6B00E79B" w14:textId="36344687" w:rsidR="1D8642D8" w:rsidRDefault="1D8642D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  <w:tr w:rsidR="1D8642D8" w14:paraId="5F91246C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1ED10" w14:textId="502F8D38" w:rsidR="1D8642D8" w:rsidRDefault="1D8642D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>Primary modes of assessment:</w:t>
            </w:r>
            <w:r w:rsidR="57E341FF"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1BE797C3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On campus, the course is graded as follows:</w:t>
            </w:r>
          </w:p>
          <w:p w14:paraId="71597654" w14:textId="6E971F5A" w:rsidR="1D8642D8" w:rsidRDefault="1BE797C3" w:rsidP="46458BE9">
            <w:pPr>
              <w:pStyle w:val="ListParagraph"/>
              <w:numPr>
                <w:ilvl w:val="0"/>
                <w:numId w:val="1"/>
              </w:num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Assignments (see syllabus for examples): 40%</w:t>
            </w:r>
          </w:p>
          <w:p w14:paraId="36A767A2" w14:textId="6BB5FC36" w:rsidR="1D8642D8" w:rsidRDefault="1BE797C3" w:rsidP="46458BE9">
            <w:pPr>
              <w:pStyle w:val="ListParagraph"/>
              <w:numPr>
                <w:ilvl w:val="0"/>
                <w:numId w:val="1"/>
              </w:num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Final project: 30%</w:t>
            </w:r>
          </w:p>
          <w:p w14:paraId="0C769826" w14:textId="61DA97D5" w:rsidR="1D8642D8" w:rsidRDefault="1BE797C3" w:rsidP="46458BE9">
            <w:pPr>
              <w:pStyle w:val="ListParagraph"/>
              <w:numPr>
                <w:ilvl w:val="0"/>
                <w:numId w:val="1"/>
              </w:num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lastRenderedPageBreak/>
              <w:t>Participation in discussions and critiques: 10%</w:t>
            </w:r>
          </w:p>
          <w:p w14:paraId="15B14671" w14:textId="11DFB8AB" w:rsidR="1D8642D8" w:rsidRDefault="1BE797C3" w:rsidP="46458BE9">
            <w:pPr>
              <w:pStyle w:val="ListParagraph"/>
              <w:numPr>
                <w:ilvl w:val="0"/>
                <w:numId w:val="1"/>
              </w:num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Attendance: 20%</w:t>
            </w:r>
          </w:p>
          <w:p w14:paraId="32C1EED4" w14:textId="05C970FE" w:rsidR="1D8642D8" w:rsidRDefault="1D8642D8" w:rsidP="46458BE9">
            <w:pPr>
              <w:rPr>
                <w:rFonts w:ascii="Century Schoolbook" w:eastAsia="Century Schoolbook" w:hAnsi="Century Schoolbook" w:cs="Century Schoolbook"/>
              </w:rPr>
            </w:pPr>
          </w:p>
          <w:p w14:paraId="6BE31B73" w14:textId="657E27FF" w:rsidR="1D8642D8" w:rsidRDefault="1BE797C3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i/>
                <w:iCs/>
                <w:sz w:val="22"/>
                <w:szCs w:val="22"/>
              </w:rPr>
              <w:t xml:space="preserve">Note: </w:t>
            </w:r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NACEP allows for variation based on differences between the high school and college contexts, so feel free to adjust the percentage for </w:t>
            </w:r>
            <w:proofErr w:type="gramStart"/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attendance in particular, perhaps</w:t>
            </w:r>
            <w:proofErr w:type="gramEnd"/>
            <w:r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assigning more weight to class participation as an equivalency.</w:t>
            </w:r>
          </w:p>
          <w:p w14:paraId="1CB20A07" w14:textId="71324192" w:rsidR="1D8642D8" w:rsidRDefault="1D8642D8" w:rsidP="46458BE9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1D8642D8" w14:paraId="3CD74598" w14:textId="77777777" w:rsidTr="562FC4DD">
        <w:trPr>
          <w:trHeight w:val="300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2475" w14:textId="7BDFF6CE" w:rsidR="1D8642D8" w:rsidRDefault="1D8642D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  <w:r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lastRenderedPageBreak/>
              <w:t>Other notes for instructors:</w:t>
            </w:r>
            <w:r w:rsidR="1D27B41F" w:rsidRPr="46458BE9">
              <w:rPr>
                <w:rFonts w:ascii="Century Schoolbook" w:eastAsia="Century Schoolbook" w:hAnsi="Century Schoolbook" w:cs="Century Schoolbook"/>
                <w:b/>
                <w:bCs/>
                <w:sz w:val="22"/>
                <w:szCs w:val="22"/>
              </w:rPr>
              <w:t xml:space="preserve"> </w:t>
            </w:r>
            <w:r w:rsidR="1D27B41F" w:rsidRPr="46458BE9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>No textbook is required for this course, but the sample syllabus does recommend some helpful reference texts.</w:t>
            </w:r>
          </w:p>
          <w:p w14:paraId="5FC065CF" w14:textId="29BB7E32" w:rsidR="1D8642D8" w:rsidRDefault="1D8642D8" w:rsidP="46458BE9">
            <w:pPr>
              <w:rPr>
                <w:rFonts w:ascii="Century Schoolbook" w:eastAsia="Century Schoolbook" w:hAnsi="Century Schoolbook" w:cs="Century Schoolbook"/>
                <w:sz w:val="22"/>
                <w:szCs w:val="22"/>
              </w:rPr>
            </w:pPr>
          </w:p>
        </w:tc>
      </w:tr>
    </w:tbl>
    <w:p w14:paraId="7CD2108C" w14:textId="6D058E65" w:rsidR="004B78F9" w:rsidRDefault="49F87443" w:rsidP="1D8642D8">
      <w:pPr>
        <w:spacing w:line="257" w:lineRule="auto"/>
      </w:pPr>
      <w:r w:rsidRPr="1D8642D8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 xml:space="preserve"> </w:t>
      </w:r>
    </w:p>
    <w:p w14:paraId="421E77B4" w14:textId="196C833F" w:rsidR="004B78F9" w:rsidRDefault="49F87443" w:rsidP="1D8642D8">
      <w:pPr>
        <w:spacing w:line="257" w:lineRule="auto"/>
      </w:pPr>
      <w:r w:rsidRPr="46458BE9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 xml:space="preserve">Approved by the Department of </w:t>
      </w:r>
      <w:r w:rsidR="23BDE584" w:rsidRPr="46458BE9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>Art and Art History</w:t>
      </w:r>
      <w:r w:rsidRPr="46458BE9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 xml:space="preserve"> on ___________________</w:t>
      </w:r>
    </w:p>
    <w:p w14:paraId="3B656CF0" w14:textId="28859FA6" w:rsidR="004B78F9" w:rsidRDefault="49F87443" w:rsidP="1D8642D8">
      <w:pPr>
        <w:spacing w:line="257" w:lineRule="auto"/>
      </w:pPr>
      <w:r w:rsidRPr="1D8642D8">
        <w:rPr>
          <w:rFonts w:ascii="Century Schoolbook" w:eastAsia="Century Schoolbook" w:hAnsi="Century Schoolbook" w:cs="Century Schoolbook"/>
          <w:b/>
          <w:bCs/>
          <w:sz w:val="22"/>
          <w:szCs w:val="22"/>
        </w:rPr>
        <w:t>Signature of department chair or faculty liaison: _______________</w:t>
      </w:r>
    </w:p>
    <w:p w14:paraId="2C078E63" w14:textId="1C5DF905" w:rsidR="004B78F9" w:rsidRDefault="004B78F9"/>
    <w:sectPr w:rsidR="004B7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9E4D"/>
    <w:multiLevelType w:val="hybridMultilevel"/>
    <w:tmpl w:val="0B4E2FE0"/>
    <w:lvl w:ilvl="0" w:tplc="0C0C8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E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2D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A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8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24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C1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A1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24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5884"/>
    <w:multiLevelType w:val="hybridMultilevel"/>
    <w:tmpl w:val="06AA0190"/>
    <w:lvl w:ilvl="0" w:tplc="53F0B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EC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6D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06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C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C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25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0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20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130565">
    <w:abstractNumId w:val="1"/>
  </w:num>
  <w:num w:numId="2" w16cid:durableId="43221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E53C1E"/>
    <w:rsid w:val="000B0BC4"/>
    <w:rsid w:val="004B78F9"/>
    <w:rsid w:val="004C3D57"/>
    <w:rsid w:val="0D9246DE"/>
    <w:rsid w:val="0FE3889D"/>
    <w:rsid w:val="0FFE7568"/>
    <w:rsid w:val="16CAED36"/>
    <w:rsid w:val="17EBC12D"/>
    <w:rsid w:val="1BE797C3"/>
    <w:rsid w:val="1C921E6B"/>
    <w:rsid w:val="1CAEFC0B"/>
    <w:rsid w:val="1D27B41F"/>
    <w:rsid w:val="1D8642D8"/>
    <w:rsid w:val="1E6EB175"/>
    <w:rsid w:val="219576A6"/>
    <w:rsid w:val="22E0AD57"/>
    <w:rsid w:val="23BDE584"/>
    <w:rsid w:val="24D6E228"/>
    <w:rsid w:val="25B41B86"/>
    <w:rsid w:val="26CD152F"/>
    <w:rsid w:val="2825E60E"/>
    <w:rsid w:val="2B4E1BDA"/>
    <w:rsid w:val="3040C983"/>
    <w:rsid w:val="30B0F4C0"/>
    <w:rsid w:val="3767BA2A"/>
    <w:rsid w:val="38F6BD0C"/>
    <w:rsid w:val="39C6D0EF"/>
    <w:rsid w:val="3AE53C1E"/>
    <w:rsid w:val="3BD413BF"/>
    <w:rsid w:val="3C966CD7"/>
    <w:rsid w:val="416A8BEA"/>
    <w:rsid w:val="43A10FEC"/>
    <w:rsid w:val="43DA63FB"/>
    <w:rsid w:val="46458BE9"/>
    <w:rsid w:val="49633D1F"/>
    <w:rsid w:val="49F87443"/>
    <w:rsid w:val="4ACC9B98"/>
    <w:rsid w:val="4EF6CFB5"/>
    <w:rsid w:val="546AD613"/>
    <w:rsid w:val="554FED4F"/>
    <w:rsid w:val="55605DF0"/>
    <w:rsid w:val="562FC4DD"/>
    <w:rsid w:val="57E341FF"/>
    <w:rsid w:val="5C29EB36"/>
    <w:rsid w:val="5D48E6D0"/>
    <w:rsid w:val="60142AC0"/>
    <w:rsid w:val="63DD7718"/>
    <w:rsid w:val="6426B85D"/>
    <w:rsid w:val="67AD895F"/>
    <w:rsid w:val="67B46532"/>
    <w:rsid w:val="69860EAD"/>
    <w:rsid w:val="6B38A3A2"/>
    <w:rsid w:val="708D8C7B"/>
    <w:rsid w:val="724BAAA7"/>
    <w:rsid w:val="7418C203"/>
    <w:rsid w:val="74B65C39"/>
    <w:rsid w:val="7A9269BF"/>
    <w:rsid w:val="7C06A0A6"/>
    <w:rsid w:val="7CC4491E"/>
    <w:rsid w:val="7D03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3C1E"/>
  <w15:chartTrackingRefBased/>
  <w15:docId w15:val="{87F52F8F-4DFB-4FAF-ACBB-ABFD8038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46458BE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b-prod.ec.easternct.edu/PROD/bwckctlg.p_disp_course_detail?cat_term_in=999999&amp;subj_code_in=ART&amp;crse_numb_in=2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75206-8C1E-44D1-AC7E-A3AD9F7E3D61}">
  <ds:schemaRefs>
    <ds:schemaRef ds:uri="http://schemas.microsoft.com/office/2006/metadata/properties"/>
    <ds:schemaRef ds:uri="http://schemas.microsoft.com/office/infopath/2007/PartnerControls"/>
    <ds:schemaRef ds:uri="8c071a67-aaf4-4802-9487-daad4bf0a16d"/>
    <ds:schemaRef ds:uri="57c089e5-69f9-4f93-a248-ec748cd57c9a"/>
  </ds:schemaRefs>
</ds:datastoreItem>
</file>

<file path=customXml/itemProps2.xml><?xml version="1.0" encoding="utf-8"?>
<ds:datastoreItem xmlns:ds="http://schemas.openxmlformats.org/officeDocument/2006/customXml" ds:itemID="{3AC85F4F-39C2-4A4B-91D4-4D1F07810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34A11-A0BC-491D-8C2A-761981213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089e5-69f9-4f93-a248-ec748cd57c9a"/>
    <ds:schemaRef ds:uri="8c071a67-aaf4-4802-9487-daad4bf0a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Speicher,Allison (English)</dc:creator>
  <cp:keywords/>
  <dc:description/>
  <cp:lastModifiedBy>Santoro,Nicole (Academic Success Center)</cp:lastModifiedBy>
  <cp:revision>2</cp:revision>
  <dcterms:created xsi:type="dcterms:W3CDTF">2025-05-22T13:50:00Z</dcterms:created>
  <dcterms:modified xsi:type="dcterms:W3CDTF">2025-05-22T13:50:00Z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